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 xml:space="preserve">EDITAL </w:t>
      </w:r>
    </w:p>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PREGÃO ELETRÔNICO Nº 080/2025</w:t>
      </w:r>
    </w:p>
    <w:p>
      <w:pPr>
        <w:pStyle w:val="Normal"/>
        <w:spacing w:lineRule="auto" w:line="276" w:before="57" w:after="57"/>
        <w:jc w:val="center"/>
        <w:rPr>
          <w:rFonts w:ascii="Verdana" w:hAnsi="Verdana"/>
          <w:sz w:val="26"/>
          <w:szCs w:val="26"/>
        </w:rPr>
      </w:pPr>
      <w:r>
        <w:rPr>
          <w:rFonts w:cs="Arial" w:ascii="Verdana" w:hAnsi="Verdana"/>
          <w:b/>
          <w:bCs/>
          <w:smallCaps/>
          <w:color w:val="000000"/>
          <w:sz w:val="26"/>
          <w:szCs w:val="26"/>
        </w:rPr>
        <w:t>(Processo Administrativo n° 009171/2025 de 23/12/2025)</w:t>
      </w:r>
    </w:p>
    <w:p>
      <w:pPr>
        <w:pStyle w:val="Normal"/>
        <w:spacing w:lineRule="auto" w:line="276" w:before="57" w:after="57"/>
        <w:jc w:val="center"/>
        <w:rPr>
          <w:rFonts w:ascii="Verdana" w:hAnsi="Verdana" w:cs="Arial"/>
          <w:b/>
          <w:bCs/>
          <w:smallCaps/>
          <w:color w:val="000000"/>
          <w:sz w:val="26"/>
          <w:szCs w:val="26"/>
        </w:rPr>
      </w:pPr>
      <w:r>
        <w:rPr>
          <w:rFonts w:cs="Arial" w:ascii="Verdana" w:hAnsi="Verdana"/>
          <w:b/>
          <w:bCs/>
          <w:smallCaps/>
          <w:color w:val="000000"/>
          <w:sz w:val="26"/>
          <w:szCs w:val="26"/>
        </w:rPr>
        <w:t>Id Cidades: 2026.065E0500001.01.0003</w:t>
      </w:r>
    </w:p>
    <w:p>
      <w:pPr>
        <w:pStyle w:val="Normal"/>
        <w:spacing w:lineRule="auto" w:line="276" w:before="57" w:after="57"/>
        <w:jc w:val="center"/>
        <w:rPr>
          <w:rFonts w:ascii="Verdana" w:hAnsi="Verdana"/>
          <w:sz w:val="20"/>
          <w:szCs w:val="20"/>
        </w:rPr>
      </w:pPr>
      <w:r>
        <w:rPr>
          <w:rFonts w:ascii="Verdana" w:hAnsi="Verdana"/>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Data da sessão: 11/02/2026.</w:t>
      </w:r>
    </w:p>
    <w:p>
      <w:pPr>
        <w:pStyle w:val="Normal"/>
        <w:spacing w:lineRule="auto" w:line="276" w:before="57" w:after="57"/>
        <w:rPr>
          <w:rFonts w:ascii="Verdana" w:hAnsi="Verdana"/>
          <w:sz w:val="20"/>
          <w:szCs w:val="20"/>
        </w:rPr>
      </w:pPr>
      <w:r>
        <w:rPr>
          <w:rFonts w:cs="Arial" w:ascii="Verdana" w:hAnsi="Verdana"/>
          <w:b/>
          <w:bCs/>
          <w:color w:val="000000"/>
          <w:sz w:val="20"/>
          <w:szCs w:val="20"/>
        </w:rPr>
        <w:t>Horário: 08h00min.</w:t>
      </w:r>
    </w:p>
    <w:p>
      <w:pPr>
        <w:pStyle w:val="Normal"/>
        <w:spacing w:lineRule="auto" w:line="276" w:before="57" w:after="57"/>
        <w:rPr/>
      </w:pPr>
      <w:r>
        <w:rPr>
          <w:rFonts w:cs="Arial" w:ascii="Verdana" w:hAnsi="Verdana"/>
          <w:b/>
          <w:bCs/>
          <w:color w:val="000000"/>
          <w:sz w:val="20"/>
          <w:szCs w:val="20"/>
        </w:rPr>
        <w:t>Local:</w:t>
      </w:r>
      <w:r>
        <w:rPr>
          <w:rFonts w:cs="Arial" w:ascii="Verdana" w:hAnsi="Verdana"/>
          <w:color w:val="000000"/>
          <w:sz w:val="20"/>
          <w:szCs w:val="20"/>
        </w:rPr>
        <w:t xml:space="preserve"> Portal de Compras Públicas –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sz w:val="20"/>
          <w:szCs w:val="20"/>
        </w:rPr>
      </w:pPr>
      <w:r>
        <w:rPr>
          <w:rFonts w:cs="Arial" w:ascii="Verdana" w:hAnsi="Verdana"/>
          <w:b/>
          <w:bCs/>
          <w:sz w:val="20"/>
          <w:szCs w:val="20"/>
        </w:rPr>
        <w:t xml:space="preserve">ID CIDADES: </w:t>
      </w:r>
      <w:r>
        <w:rPr>
          <w:rFonts w:cs="Arial" w:ascii="Verdana" w:hAnsi="Verdana"/>
          <w:b/>
          <w:bCs/>
          <w:sz w:val="20"/>
          <w:szCs w:val="20"/>
        </w:rPr>
        <w:t>2026.065E0500001.01.0003</w:t>
      </w:r>
    </w:p>
    <w:p>
      <w:pPr>
        <w:pStyle w:val="Normal"/>
        <w:spacing w:lineRule="auto" w:line="276" w:before="57" w:after="57"/>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1.1 O objeto da presente licitação é a Aquisição de medicamentos não pactuados pelo SUS para atender as necessidades  da F</w:t>
      </w:r>
      <w:bookmarkStart w:id="1" w:name="_Hlk171322521"/>
      <w:r>
        <w:rPr>
          <w:rFonts w:cs="Verdana" w:ascii="Verdana" w:hAnsi="Verdana"/>
          <w:bCs/>
          <w:sz w:val="20"/>
          <w:szCs w:val="20"/>
        </w:rPr>
        <w:t>armácia Básica Municipal através da Secretaria Municipal de Saúde, deste município</w:t>
      </w:r>
      <w:bookmarkEnd w:id="1"/>
      <w:r>
        <w:rPr>
          <w:rFonts w:eastAsia="Batang;바탕" w:cs="Arial" w:ascii="Verdana" w:hAnsi="Verdana"/>
          <w:color w:val="000000"/>
          <w:kern w:val="2"/>
          <w:sz w:val="20"/>
          <w:szCs w:val="20"/>
          <w:lang w:eastAsia="en-US" w:bidi="pt-BR"/>
        </w:rPr>
        <w:t>, conforme c</w:t>
      </w:r>
      <w:r>
        <w:rPr>
          <w:rFonts w:cs="Arial" w:ascii="Verdana" w:hAnsi="Verdana"/>
          <w:sz w:val="20"/>
          <w:szCs w:val="20"/>
        </w:rPr>
        <w:t>ondições e exigências estabelecidas neste Edital e seus anexos.</w:t>
      </w:r>
    </w:p>
    <w:p>
      <w:pPr>
        <w:pStyle w:val="Normal"/>
        <w:spacing w:lineRule="auto" w:line="276" w:before="57" w:after="57"/>
        <w:jc w:val="both"/>
        <w:rPr>
          <w:rFonts w:ascii="Verdana" w:hAnsi="Verdana" w:cs="Arial"/>
          <w:iCs/>
          <w:color w:val="000000"/>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CREDENCIAMENTO</w:t>
      </w:r>
    </w:p>
    <w:p>
      <w:pPr>
        <w:pStyle w:val="Default"/>
        <w:spacing w:lineRule="auto" w:line="276" w:before="57" w:after="57"/>
        <w:jc w:val="both"/>
        <w:rPr>
          <w:rFonts w:ascii="Verdana" w:hAnsi="Verdana"/>
          <w:sz w:val="20"/>
          <w:szCs w:val="20"/>
        </w:rPr>
      </w:pPr>
      <w:r>
        <w:rPr>
          <w:rFonts w:ascii="Verdana" w:hAnsi="Verdana"/>
          <w:sz w:val="20"/>
          <w:szCs w:val="20"/>
        </w:rPr>
        <w:t xml:space="preserve">2.1.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rFonts w:ascii="Verdana" w:hAnsi="Verdana"/>
          <w:sz w:val="20"/>
          <w:szCs w:val="20"/>
        </w:rPr>
      </w:pPr>
      <w:r>
        <w:rPr>
          <w:rFonts w:ascii="Verdana" w:hAnsi="Verdana"/>
          <w:sz w:val="20"/>
          <w:szCs w:val="20"/>
        </w:rPr>
        <w:t xml:space="preserve">2.2.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rFonts w:ascii="Verdana" w:hAnsi="Verdana"/>
          <w:sz w:val="20"/>
          <w:szCs w:val="20"/>
        </w:rPr>
      </w:pPr>
      <w:r>
        <w:rPr>
          <w:rFonts w:ascii="Verdana" w:hAnsi="Verdana"/>
          <w:sz w:val="20"/>
          <w:szCs w:val="20"/>
        </w:rPr>
        <w:t xml:space="preserve">2.3. É de exclusiva responsabilidade do usuário o sigilo da senha, bem como seu uso em qualquer transação efetuada. </w:t>
      </w:r>
    </w:p>
    <w:p>
      <w:pPr>
        <w:pStyle w:val="Default"/>
        <w:spacing w:lineRule="auto" w:line="276" w:before="57" w:after="57"/>
        <w:jc w:val="both"/>
        <w:rPr>
          <w:rFonts w:ascii="Verdana" w:hAnsi="Verdana"/>
          <w:sz w:val="20"/>
          <w:szCs w:val="20"/>
        </w:rPr>
      </w:pPr>
      <w:r>
        <w:rPr>
          <w:rFonts w:ascii="Verdana" w:hAnsi="Verdana"/>
          <w:sz w:val="20"/>
          <w:szCs w:val="20"/>
        </w:rPr>
        <w:t xml:space="preserve">2.4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rFonts w:ascii="Verdana" w:hAnsi="Verdana"/>
          <w:sz w:val="20"/>
          <w:szCs w:val="20"/>
        </w:rPr>
      </w:pPr>
      <w:r>
        <w:rPr>
          <w:rFonts w:cs="Arial" w:ascii="Verdana" w:hAnsi="Verdana"/>
          <w:bCs/>
          <w:iCs/>
          <w:sz w:val="20"/>
          <w:szCs w:val="20"/>
        </w:rPr>
        <w:t>2.5.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rFonts w:ascii="Verdana" w:hAnsi="Verdana" w:cs="Arial"/>
          <w:bCs/>
          <w:iCs/>
          <w:sz w:val="20"/>
          <w:szCs w:val="20"/>
        </w:rPr>
      </w:pPr>
      <w:r>
        <w:rPr>
          <w:rFonts w:cs="Arial" w:ascii="Verdana" w:hAnsi="Verdana"/>
          <w:bCs/>
          <w:iCs/>
          <w:sz w:val="20"/>
          <w:szCs w:val="20"/>
        </w:rPr>
        <w:t>2.6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01"/>
        <w:numPr>
          <w:ilvl w:val="0"/>
          <w:numId w:val="2"/>
        </w:numPr>
        <w:tabs>
          <w:tab w:val="clear" w:pos="567"/>
          <w:tab w:val="left" w:pos="284" w:leader="none"/>
        </w:tabs>
        <w:spacing w:lineRule="auto" w:line="276" w:before="57" w:after="57"/>
        <w:ind w:hanging="0" w:left="0"/>
        <w:rPr>
          <w:rFonts w:ascii="Verdana" w:hAnsi="Verdana"/>
        </w:rPr>
      </w:pPr>
      <w:r>
        <w:rPr>
          <w:rFonts w:cs="Arial" w:ascii="Verdana" w:hAnsi="Verdana"/>
        </w:rPr>
        <w:t>DA PARTICIPAÇÃO NO PREGÃO.</w:t>
      </w:r>
    </w:p>
    <w:p>
      <w:pPr>
        <w:pStyle w:val="Normal"/>
        <w:spacing w:lineRule="auto" w:line="276" w:before="57" w:after="57"/>
        <w:jc w:val="both"/>
        <w:rPr>
          <w:rFonts w:ascii="Verdana" w:hAnsi="Verdana"/>
          <w:sz w:val="20"/>
          <w:szCs w:val="20"/>
        </w:rPr>
      </w:pPr>
      <w:r>
        <w:rPr>
          <w:rFonts w:cs="Arial" w:ascii="Verdana" w:hAnsi="Verdana"/>
          <w:bCs/>
          <w:color w:val="000000"/>
          <w:sz w:val="20"/>
          <w:szCs w:val="20"/>
        </w:rPr>
        <w:t>3.1 Poderão participar deste certame os interessados que atenderem as exigências contidas neste Edital e seus anexos, e que sejam possuidores de chaves de identificação e senha fornecidas para acesso ao sistema provedor.</w:t>
      </w:r>
    </w:p>
    <w:p>
      <w:pPr>
        <w:pStyle w:val="Normal"/>
        <w:spacing w:lineRule="auto" w:line="276" w:before="57" w:after="57"/>
        <w:jc w:val="both"/>
        <w:rPr>
          <w:rFonts w:ascii="Verdana" w:hAnsi="Verdana"/>
          <w:sz w:val="20"/>
          <w:szCs w:val="20"/>
        </w:rPr>
      </w:pPr>
      <w:r>
        <w:rPr>
          <w:rFonts w:cs="Arial" w:ascii="Verdana" w:hAnsi="Verdana"/>
          <w:bCs/>
          <w:iCs/>
          <w:color w:val="000000"/>
          <w:sz w:val="20"/>
          <w:szCs w:val="20"/>
        </w:rPr>
        <w:t>3.2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rFonts w:ascii="Verdana" w:hAnsi="Verdana"/>
          <w:sz w:val="20"/>
          <w:szCs w:val="20"/>
        </w:rPr>
      </w:pPr>
      <w:r>
        <w:rPr>
          <w:rFonts w:cs="Arial" w:ascii="Verdana" w:hAnsi="Verdana"/>
          <w:bCs/>
          <w:iCs/>
          <w:color w:val="000000"/>
          <w:sz w:val="20"/>
          <w:szCs w:val="20"/>
        </w:rPr>
        <w:t>3.2.1</w:t>
      </w:r>
      <w:r>
        <w:rPr>
          <w:rFonts w:cs="Arial" w:ascii="Verdana" w:hAnsi="Verdana"/>
          <w:b/>
          <w:bCs/>
          <w:iCs/>
          <w:color w:val="000000"/>
          <w:sz w:val="20"/>
          <w:szCs w:val="20"/>
        </w:rPr>
        <w:t xml:space="preserve"> </w:t>
      </w:r>
      <w:r>
        <w:rPr>
          <w:rFonts w:cs="Arial" w:ascii="Verdana" w:hAnsi="Verdana"/>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76" w:before="57" w:after="57"/>
        <w:jc w:val="both"/>
        <w:rPr/>
      </w:pPr>
      <w:r>
        <w:rPr>
          <w:rFonts w:cs="Arial" w:ascii="Verdana" w:hAnsi="Verdana"/>
          <w:iCs/>
          <w:color w:val="000000"/>
          <w:sz w:val="20"/>
          <w:szCs w:val="20"/>
          <w:shd w:fill="FFFF00" w:val="clear"/>
        </w:rPr>
        <w:t xml:space="preserve">3.2.2 </w:t>
      </w:r>
      <w:r>
        <w:rPr>
          <w:rFonts w:cs="Arial" w:ascii="Verdana" w:hAnsi="Verdana"/>
          <w:bCs/>
          <w:iCs/>
          <w:color w:val="000000"/>
          <w:sz w:val="20"/>
          <w:szCs w:val="20"/>
          <w:shd w:fill="FFFF00" w:val="clear"/>
        </w:rPr>
        <w:t xml:space="preserve">Poderão participar da licitação as empresas interessadas qualificadas, na forma da Lei Complementar nº 123/2006, </w:t>
      </w:r>
      <w:r>
        <w:rPr>
          <w:rFonts w:cs="Arial" w:ascii="Verdana" w:hAnsi="Verdana"/>
          <w:b/>
          <w:bCs/>
          <w:iCs/>
          <w:color w:val="000000"/>
          <w:sz w:val="20"/>
          <w:szCs w:val="20"/>
          <w:u w:val="single"/>
          <w:shd w:fill="FFFF00" w:val="clear"/>
        </w:rPr>
        <w:t>como microempresa (ME) ou empresa de pequeno porte (EPP)</w:t>
      </w:r>
      <w:r>
        <w:rPr>
          <w:rFonts w:cs="Arial" w:ascii="Verdana" w:hAnsi="Verdana"/>
          <w:bCs/>
          <w:iCs/>
          <w:color w:val="000000"/>
          <w:sz w:val="20"/>
          <w:szCs w:val="20"/>
          <w:shd w:fill="FFFF00" w:val="clear"/>
        </w:rPr>
        <w:t xml:space="preserve"> 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shd w:fill="FFFF00" w:val="clear"/>
          </w:rPr>
          <w:t>www.portaldecompraspublicas.com.br</w:t>
        </w:r>
      </w:hyperlink>
      <w:r>
        <w:rPr>
          <w:rStyle w:val="InternetLink"/>
          <w:rFonts w:cs="Arial" w:ascii="Verdana" w:hAnsi="Verdana"/>
          <w:b/>
          <w:bCs/>
          <w:iCs/>
          <w:sz w:val="20"/>
          <w:szCs w:val="20"/>
          <w:shd w:fill="FFFF00" w:val="clear"/>
        </w:rPr>
        <w:t>.</w:t>
      </w:r>
      <w:r>
        <w:rPr>
          <w:rFonts w:cs="Arial" w:ascii="Verdana" w:hAnsi="Verdana"/>
          <w:bCs/>
          <w:iCs/>
          <w:color w:val="000000"/>
          <w:sz w:val="20"/>
          <w:szCs w:val="20"/>
          <w:shd w:fill="FFFF00" w:val="clear"/>
        </w:rPr>
        <w:t xml:space="preserve"> </w:t>
      </w:r>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3.3 Não poderão participar desta licitação os interessados: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3.3.1 Proibidos de participar de licitações e celebrar contratos administrativos, na forma da legislação vigente;</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sz w:val="20"/>
          <w:szCs w:val="20"/>
        </w:rPr>
        <w:t>3.3.2 Que não atendam às condições deste Edital e seu(s) anexo(s);</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bCs/>
          <w:color w:val="000000"/>
          <w:sz w:val="20"/>
          <w:szCs w:val="20"/>
        </w:rPr>
        <w:t>3.3.3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20"/>
          <w:tab w:val="left" w:pos="1440" w:leader="none"/>
        </w:tabs>
        <w:snapToGrid w:val="false"/>
        <w:spacing w:lineRule="auto" w:line="276" w:before="57" w:after="57"/>
        <w:jc w:val="both"/>
        <w:rPr>
          <w:rFonts w:ascii="Verdana" w:hAnsi="Verdana"/>
          <w:sz w:val="20"/>
          <w:szCs w:val="20"/>
        </w:rPr>
      </w:pPr>
      <w:r>
        <w:rPr>
          <w:rFonts w:eastAsia="Arial Unicode MS" w:cs="Arial" w:ascii="Verdana" w:hAnsi="Verdana"/>
          <w:color w:val="000000"/>
          <w:sz w:val="20"/>
          <w:szCs w:val="20"/>
        </w:rPr>
        <w:t>3.3.4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3.3.6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3.3.8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rFonts w:ascii="Verdana" w:hAnsi="Verdana"/>
          <w:sz w:val="20"/>
          <w:szCs w:val="20"/>
        </w:rPr>
      </w:pPr>
      <w:r>
        <w:rPr>
          <w:rFonts w:cs="Arial" w:ascii="Verdana" w:hAnsi="Verdana"/>
          <w:color w:val="000000"/>
          <w:sz w:val="20"/>
          <w:szCs w:val="20"/>
        </w:rPr>
        <w:t>3.3.9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rFonts w:ascii="Verdana" w:hAnsi="Verdana"/>
          <w:sz w:val="20"/>
          <w:szCs w:val="20"/>
        </w:rPr>
      </w:pPr>
      <w:r>
        <w:rPr>
          <w:rFonts w:cs="Arial" w:ascii="Verdana" w:hAnsi="Verdana"/>
          <w:bCs/>
          <w:color w:val="000000"/>
          <w:sz w:val="20"/>
          <w:szCs w:val="20"/>
        </w:rPr>
        <w:t>3.3.10 Organizações da Sociedade Civil interesse Público – OSCIP, atuando nessa condição;</w:t>
      </w:r>
    </w:p>
    <w:p>
      <w:pPr>
        <w:pStyle w:val="Normal"/>
        <w:snapToGrid w:val="false"/>
        <w:spacing w:lineRule="auto" w:line="276" w:before="57" w:after="57"/>
        <w:jc w:val="both"/>
        <w:rPr/>
      </w:pPr>
      <w:r>
        <w:rPr>
          <w:rFonts w:cs="Arial" w:ascii="Verdana" w:hAnsi="Verdana"/>
          <w:bCs/>
          <w:color w:val="000000"/>
          <w:sz w:val="20"/>
          <w:szCs w:val="20"/>
        </w:rPr>
        <w:t xml:space="preserve">3.3.11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before="57" w:after="57"/>
        <w:ind w:hanging="0" w:left="0"/>
        <w:rPr>
          <w:rFonts w:ascii="Verdana" w:hAnsi="Verdana"/>
        </w:rPr>
      </w:pPr>
      <w:r>
        <w:rPr>
          <w:rFonts w:eastAsia="Segoe UI" w:cs="Arial" w:ascii="Verdana" w:hAnsi="Verdana"/>
          <w:bCs/>
          <w:color w:val="000000"/>
        </w:rPr>
        <w:t>3.4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rFonts w:ascii="Verdana" w:hAnsi="Verdana"/>
        </w:rPr>
      </w:pPr>
      <w:bookmarkStart w:id="7" w:name="art14§2"/>
      <w:bookmarkEnd w:id="7"/>
      <w:r>
        <w:rPr>
          <w:rFonts w:eastAsia="Segoe UI" w:cs="Arial" w:ascii="Verdana" w:hAnsi="Verdana"/>
          <w:bCs/>
          <w:color w:val="000000"/>
        </w:rPr>
        <w:t>3.5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rFonts w:ascii="Verdana" w:hAnsi="Verdana"/>
        </w:rPr>
      </w:pPr>
      <w:bookmarkStart w:id="8" w:name="art14§3"/>
      <w:bookmarkEnd w:id="8"/>
      <w:r>
        <w:rPr>
          <w:rFonts w:eastAsia="Segoe UI" w:cs="Arial" w:ascii="Verdana" w:hAnsi="Verdana"/>
          <w:bCs/>
          <w:color w:val="000000"/>
        </w:rPr>
        <w:t>3.6 Equiparam-se aos autores do projeto as empresas integrantes do mesmo grupo econômico.</w:t>
      </w:r>
    </w:p>
    <w:p>
      <w:pPr>
        <w:pStyle w:val="Nivel2"/>
        <w:numPr>
          <w:ilvl w:val="0"/>
          <w:numId w:val="0"/>
        </w:numPr>
        <w:spacing w:before="57" w:after="57"/>
        <w:ind w:hanging="0" w:left="0"/>
        <w:rPr>
          <w:rFonts w:ascii="Verdana" w:hAnsi="Verdana"/>
        </w:rPr>
      </w:pPr>
      <w:bookmarkStart w:id="9" w:name="art14§4"/>
      <w:bookmarkEnd w:id="9"/>
      <w:r>
        <w:rPr>
          <w:rFonts w:eastAsia="Segoe UI" w:cs="Arial" w:ascii="Verdana" w:hAnsi="Verdana"/>
          <w:bCs/>
          <w:color w:val="000000"/>
        </w:rPr>
        <w:t>3.7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3.8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rFonts w:ascii="Verdana" w:hAnsi="Verdana"/>
        </w:rPr>
      </w:pPr>
      <w:r>
        <w:rPr>
          <w:rFonts w:eastAsia="Segoe UI" w:cs="Arial" w:ascii="Verdana" w:hAnsi="Verdana"/>
          <w:bCs/>
          <w:color w:val="000000"/>
        </w:rPr>
        <w:t>3.9 A vedação de que trata o item 3.3.9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cs="Tahoma"/>
        </w:rPr>
      </w:pPr>
      <w:r>
        <w:rPr>
          <w:rFonts w:cs="Tahoma" w:ascii="Verdana" w:hAnsi="Verdana"/>
        </w:rPr>
      </w:r>
    </w:p>
    <w:p>
      <w:pPr>
        <w:pStyle w:val="Nivel01"/>
        <w:numPr>
          <w:ilvl w:val="0"/>
          <w:numId w:val="2"/>
        </w:numPr>
        <w:spacing w:lineRule="auto" w:line="276" w:before="57" w:after="57"/>
        <w:ind w:hanging="0" w:left="0"/>
        <w:rPr>
          <w:rFonts w:ascii="Verdana" w:hAnsi="Verdana"/>
        </w:rPr>
      </w:pPr>
      <w:r>
        <w:rPr>
          <w:rFonts w:cs="Arial" w:ascii="Verdana" w:hAnsi="Verdana"/>
        </w:rPr>
        <w:t>DA APRESENTAÇÃO DA PROPOSTA E DOS DOCUMENTOS DE HABILITAÇÃO</w:t>
      </w:r>
    </w:p>
    <w:p>
      <w:pPr>
        <w:pStyle w:val="Normal"/>
        <w:numPr>
          <w:ilvl w:val="1"/>
          <w:numId w:val="15"/>
        </w:numPr>
        <w:tabs>
          <w:tab w:val="clear" w:pos="720"/>
          <w:tab w:val="left" w:pos="450" w:leader="none"/>
          <w:tab w:val="left" w:pos="1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6"/>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7"/>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8"/>
        </w:numPr>
        <w:tabs>
          <w:tab w:val="clear" w:pos="720"/>
          <w:tab w:val="left" w:pos="450" w:leader="none"/>
        </w:tabs>
        <w:spacing w:lineRule="auto" w:line="276"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9"/>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0"/>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1"/>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2"/>
        </w:numPr>
        <w:tabs>
          <w:tab w:val="clear" w:pos="720"/>
          <w:tab w:val="left" w:pos="450" w:leader="none"/>
        </w:tabs>
        <w:spacing w:lineRule="auto" w:line="276" w:before="57" w:after="57"/>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ivel01"/>
        <w:numPr>
          <w:ilvl w:val="0"/>
          <w:numId w:val="2"/>
        </w:numPr>
        <w:spacing w:lineRule="auto" w:line="276" w:before="57" w:after="57"/>
        <w:ind w:hanging="0" w:left="0"/>
        <w:rPr>
          <w:rFonts w:ascii="Verdana" w:hAnsi="Verdana"/>
        </w:rPr>
      </w:pPr>
      <w:r>
        <w:rPr>
          <w:rFonts w:cs="Arial" w:ascii="Verdana" w:hAnsi="Verdana"/>
        </w:rPr>
        <w:t>DO PREENCHIMENTO DA PROPOSTA</w:t>
      </w:r>
    </w:p>
    <w:p>
      <w:pPr>
        <w:pStyle w:val="Normal"/>
        <w:numPr>
          <w:ilvl w:val="1"/>
          <w:numId w:val="2"/>
        </w:numPr>
        <w:tabs>
          <w:tab w:val="clear" w:pos="720"/>
          <w:tab w:val="left" w:pos="450" w:leader="none"/>
        </w:tabs>
        <w:spacing w:lineRule="auto" w:line="276" w:before="57" w:after="57"/>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20"/>
          <w:tab w:val="left" w:pos="617" w:leader="none"/>
          <w:tab w:val="left" w:pos="733" w:leader="none"/>
        </w:tabs>
        <w:snapToGrid w:val="false"/>
        <w:spacing w:lineRule="auto" w:line="276" w:before="57" w:after="57"/>
        <w:ind w:hanging="0" w:left="0"/>
        <w:jc w:val="both"/>
        <w:rPr/>
      </w:pPr>
      <w:r>
        <w:rPr>
          <w:rFonts w:cs="Arial" w:ascii="Verdana" w:hAnsi="Verdana"/>
          <w:iCs/>
          <w:color w:themeColor="text1" w:val="000000"/>
          <w:sz w:val="20"/>
          <w:szCs w:val="20"/>
        </w:rPr>
        <w:t>Valor unitário e total do item;</w:t>
      </w:r>
    </w:p>
    <w:p>
      <w:pPr>
        <w:pStyle w:val="Normal"/>
        <w:numPr>
          <w:ilvl w:val="0"/>
          <w:numId w:val="0"/>
        </w:numPr>
        <w:tabs>
          <w:tab w:val="clear" w:pos="720"/>
          <w:tab w:val="left" w:pos="617" w:leader="none"/>
          <w:tab w:val="left" w:pos="1440" w:leader="none"/>
        </w:tabs>
        <w:snapToGrid w:val="false"/>
        <w:spacing w:lineRule="auto" w:line="276" w:before="57" w:after="57"/>
        <w:ind w:hanging="0" w:left="0"/>
        <w:jc w:val="both"/>
        <w:rPr/>
      </w:pPr>
      <w:r>
        <w:rPr>
          <w:rFonts w:cs="Arial" w:ascii="Verdana" w:hAnsi="Verdana"/>
          <w:iCs/>
          <w:color w:themeColor="text1" w:val="000000"/>
          <w:sz w:val="20"/>
          <w:szCs w:val="20"/>
        </w:rPr>
        <w:t>5.1.1.1.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Marca;</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Fabricante;</w:t>
      </w:r>
    </w:p>
    <w:p>
      <w:pPr>
        <w:pStyle w:val="Normal"/>
        <w:numPr>
          <w:ilvl w:val="2"/>
          <w:numId w:val="2"/>
        </w:numPr>
        <w:tabs>
          <w:tab w:val="clear" w:pos="720"/>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20"/>
          <w:tab w:val="left" w:pos="450" w:leader="none"/>
        </w:tabs>
        <w:spacing w:lineRule="auto" w:line="276" w:before="57" w:after="57"/>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20"/>
          <w:tab w:val="left" w:pos="450" w:leader="none"/>
        </w:tabs>
        <w:spacing w:lineRule="auto" w:line="276" w:before="57" w:after="57"/>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20"/>
          <w:tab w:val="left" w:pos="450" w:leader="none"/>
        </w:tabs>
        <w:spacing w:lineRule="auto" w:line="276" w:before="57" w:after="57"/>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20"/>
          <w:tab w:val="left" w:pos="426" w:leader="none"/>
        </w:tabs>
        <w:suppressAutoHyphens w:val="false"/>
        <w:spacing w:before="57" w:after="57"/>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20"/>
          <w:tab w:val="left" w:pos="450" w:leader="none"/>
        </w:tabs>
        <w:spacing w:lineRule="auto" w:line="276" w:before="57" w:after="57"/>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20"/>
          <w:tab w:val="left" w:pos="450" w:leader="none"/>
        </w:tabs>
        <w:spacing w:lineRule="auto" w:line="276" w:before="57" w:after="57"/>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numPr>
          <w:ilvl w:val="0"/>
          <w:numId w:val="0"/>
        </w:numPr>
        <w:spacing w:lineRule="auto" w:line="276" w:before="57" w:after="57"/>
        <w:ind w:hanging="0" w:left="0"/>
        <w:contextualSpacing w:val="false"/>
        <w:jc w:val="both"/>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rPr>
        <w:t>Também será desclassificada a proposta que identifique o licitante.</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20"/>
          <w:tab w:val="left" w:pos="683"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6.3 O sistema ordenará automaticamente as propostas classificadas, sendo que somente estas participarão da fase de lances.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6.4 O sistema disponibilizará campo próprio para troca de mensagens entre o Pregoeiro e os licitantes.</w:t>
      </w:r>
    </w:p>
    <w:p>
      <w:pPr>
        <w:pStyle w:val="Normal"/>
        <w:tabs>
          <w:tab w:val="clear" w:pos="720"/>
          <w:tab w:val="left" w:pos="683"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6.5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20"/>
          <w:tab w:val="left" w:pos="144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 xml:space="preserve">6.5.1 O lance deverá ser ofertado pelo </w:t>
      </w:r>
      <w:r>
        <w:rPr>
          <w:rFonts w:cs="Arial" w:ascii="Verdana" w:hAnsi="Verdana"/>
          <w:iCs/>
          <w:color w:val="000000"/>
          <w:sz w:val="20"/>
          <w:szCs w:val="20"/>
        </w:rPr>
        <w:t>maior percentual de desconto</w:t>
      </w:r>
      <w:r>
        <w:rPr>
          <w:rFonts w:cs="Arial" w:ascii="Verdana" w:hAnsi="Verdana"/>
          <w:b/>
          <w:bCs/>
          <w:color w:val="000000"/>
          <w:sz w:val="20"/>
          <w:szCs w:val="20"/>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6.6 Os licitantes poderão oferecer lances sucessivos, observando o horário fixado para abertura da sessão e as regras estabelecidas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6.7 O licitante somente poderá oferecer lance de valor superior ao último por ele ofertado e registrado pelo sistema.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6.8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jc w:val="both"/>
        <w:rPr>
          <w:sz w:val="20"/>
          <w:szCs w:val="20"/>
        </w:rPr>
      </w:pPr>
      <w:r>
        <w:rPr>
          <w:rFonts w:cs="Arial" w:ascii="Verdana" w:hAnsi="Verdana"/>
          <w:b w:val="false"/>
          <w:bCs w:val="false"/>
          <w:sz w:val="20"/>
          <w:szCs w:val="20"/>
        </w:rPr>
        <w:t>6.9</w:t>
      </w:r>
      <w:r>
        <w:rPr>
          <w:rFonts w:cs="Arial" w:ascii="Verdana" w:hAnsi="Verdana"/>
          <w:sz w:val="20"/>
          <w:szCs w:val="20"/>
        </w:rPr>
        <w:t xml:space="preserve">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jc w:val="both"/>
        <w:rPr>
          <w:sz w:val="20"/>
          <w:szCs w:val="20"/>
        </w:rPr>
      </w:pPr>
      <w:r>
        <w:rPr>
          <w:rFonts w:ascii="Verdana" w:hAnsi="Verdana"/>
          <w:b w:val="false"/>
          <w:bCs w:val="false"/>
          <w:sz w:val="20"/>
          <w:szCs w:val="20"/>
        </w:rPr>
        <w:t>6.10</w:t>
      </w:r>
      <w:r>
        <w:rPr>
          <w:sz w:val="20"/>
          <w:szCs w:val="20"/>
        </w:rPr>
        <w:t xml:space="preserve">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jc w:val="both"/>
        <w:rPr>
          <w:sz w:val="20"/>
          <w:szCs w:val="20"/>
        </w:rPr>
      </w:pPr>
      <w:r>
        <w:rPr>
          <w:rFonts w:ascii="Verdana" w:hAnsi="Verdana"/>
          <w:b w:val="false"/>
          <w:bCs w:val="false"/>
          <w:sz w:val="20"/>
          <w:szCs w:val="20"/>
        </w:rPr>
        <w:t>6.11</w:t>
      </w:r>
      <w:r>
        <w:rPr>
          <w:rFonts w:ascii="Verdana" w:hAnsi="Verdana"/>
          <w:sz w:val="20"/>
          <w:szCs w:val="20"/>
        </w:rPr>
        <w:t xml:space="preserve"> Não havendo novos lances na forma estabelecida nos itens anteriores, a sessão pública encerrar-se-á automaticamente, e o sistema ordenará e divulgará os lances conforme a ordem final de classificação.</w:t>
      </w:r>
    </w:p>
    <w:p>
      <w:pPr>
        <w:pStyle w:val="Default"/>
        <w:spacing w:lineRule="auto" w:line="276"/>
        <w:jc w:val="both"/>
        <w:rPr>
          <w:sz w:val="20"/>
          <w:szCs w:val="20"/>
        </w:rPr>
      </w:pPr>
      <w:r>
        <w:rPr>
          <w:rFonts w:ascii="Verdana" w:hAnsi="Verdana"/>
          <w:b w:val="false"/>
          <w:bCs w:val="false"/>
          <w:sz w:val="20"/>
          <w:szCs w:val="20"/>
        </w:rPr>
        <w:t>6.12</w:t>
      </w:r>
      <w:r>
        <w:rPr>
          <w:rFonts w:ascii="Verdana" w:hAnsi="Verdana"/>
          <w:sz w:val="20"/>
          <w:szCs w:val="20"/>
        </w:rPr>
        <w:t xml:space="preserve">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jc w:val="both"/>
        <w:rPr>
          <w:sz w:val="20"/>
          <w:szCs w:val="20"/>
        </w:rPr>
      </w:pPr>
      <w:r>
        <w:rPr>
          <w:rFonts w:ascii="Verdana" w:hAnsi="Verdana"/>
          <w:b w:val="false"/>
          <w:bCs w:val="false"/>
          <w:sz w:val="20"/>
          <w:szCs w:val="20"/>
        </w:rPr>
        <w:t>6.13</w:t>
      </w:r>
      <w:r>
        <w:rPr>
          <w:rFonts w:ascii="Verdana" w:hAnsi="Verdana"/>
          <w:sz w:val="20"/>
          <w:szCs w:val="20"/>
        </w:rPr>
        <w:t xml:space="preserve"> Após o reinício previsto no item supra, os licitantes serão convocados para apresentar lances intermediários.</w:t>
      </w:r>
    </w:p>
    <w:p>
      <w:pPr>
        <w:pStyle w:val="Normal"/>
        <w:spacing w:lineRule="auto" w:line="276" w:before="57" w:after="57"/>
        <w:jc w:val="both"/>
        <w:rPr>
          <w:sz w:val="20"/>
          <w:szCs w:val="20"/>
        </w:rPr>
      </w:pPr>
      <w:r>
        <w:rPr>
          <w:rFonts w:ascii="Verdana" w:hAnsi="Verdana"/>
          <w:b w:val="false"/>
          <w:bCs w:val="false"/>
          <w:sz w:val="20"/>
          <w:szCs w:val="20"/>
        </w:rPr>
        <w:t>6.11</w:t>
      </w:r>
      <w:r>
        <w:rPr>
          <w:rFonts w:ascii="Verdana" w:hAnsi="Verdana"/>
          <w:sz w:val="20"/>
          <w:szCs w:val="20"/>
        </w:rPr>
        <w:t>. Após o término dos prazos estabelecidos nos itens anteriores, o sistema ordenará os lances segundo a ordem crescente de valores.</w:t>
      </w:r>
    </w:p>
    <w:p>
      <w:pPr>
        <w:pStyle w:val="Normal"/>
        <w:spacing w:lineRule="auto" w:line="276" w:before="57" w:after="57"/>
        <w:jc w:val="both"/>
        <w:rPr>
          <w:sz w:val="20"/>
          <w:szCs w:val="20"/>
        </w:rPr>
      </w:pPr>
      <w:r>
        <w:rPr>
          <w:rFonts w:cs="Arial" w:ascii="Verdana" w:hAnsi="Verdana"/>
          <w:b w:val="false"/>
          <w:bCs w:val="false"/>
          <w:color w:val="000000"/>
          <w:sz w:val="20"/>
          <w:szCs w:val="20"/>
        </w:rPr>
        <w:t>6.13</w:t>
      </w:r>
      <w:r>
        <w:rPr>
          <w:rFonts w:cs="Arial" w:ascii="Verdana" w:hAnsi="Verdana"/>
          <w:color w:val="000000"/>
          <w:sz w:val="20"/>
          <w:szCs w:val="20"/>
        </w:rPr>
        <w:t xml:space="preserve"> Não serão aceitos dois ou mais lances de mesmo valor, prevalecendo aquele que for recebido e registrado em primeiro lugar.</w:t>
      </w:r>
    </w:p>
    <w:p>
      <w:pPr>
        <w:pStyle w:val="Normal"/>
        <w:spacing w:lineRule="auto" w:line="276" w:before="57" w:after="57"/>
        <w:jc w:val="both"/>
        <w:rPr>
          <w:sz w:val="20"/>
          <w:szCs w:val="20"/>
        </w:rPr>
      </w:pPr>
      <w:r>
        <w:rPr>
          <w:rFonts w:cs="Arial" w:ascii="Verdana" w:hAnsi="Verdana"/>
          <w:b w:val="false"/>
          <w:bCs w:val="false"/>
          <w:color w:val="000000"/>
          <w:sz w:val="20"/>
          <w:szCs w:val="20"/>
        </w:rPr>
        <w:t>6.14</w:t>
      </w:r>
      <w:r>
        <w:rPr>
          <w:rFonts w:cs="Arial" w:ascii="Verdana" w:hAnsi="Verdana"/>
          <w:color w:val="000000"/>
          <w:sz w:val="20"/>
          <w:szCs w:val="20"/>
        </w:rPr>
        <w:t xml:space="preserve"> Durante o transcurso da sessão pública, os licitantes serão informados, em tempo real, do valor do menor lance registrado, vedada a identificação do licitante. </w:t>
      </w:r>
    </w:p>
    <w:p>
      <w:pPr>
        <w:pStyle w:val="Normal"/>
        <w:spacing w:lineRule="auto" w:line="276" w:before="57" w:after="57"/>
        <w:jc w:val="both"/>
        <w:rPr>
          <w:sz w:val="20"/>
          <w:szCs w:val="20"/>
        </w:rPr>
      </w:pPr>
      <w:r>
        <w:rPr>
          <w:rFonts w:cs="Arial" w:ascii="Verdana" w:hAnsi="Verdana"/>
          <w:b w:val="false"/>
          <w:bCs w:val="false"/>
          <w:color w:val="000000"/>
          <w:sz w:val="20"/>
          <w:szCs w:val="20"/>
        </w:rPr>
        <w:t>6.15</w:t>
      </w:r>
      <w:r>
        <w:rPr>
          <w:rFonts w:cs="Arial" w:ascii="Verdana" w:hAnsi="Verdana"/>
          <w:color w:val="000000"/>
          <w:sz w:val="20"/>
          <w:szCs w:val="20"/>
        </w:rPr>
        <w:t xml:space="preserve">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sz w:val="20"/>
          <w:szCs w:val="20"/>
        </w:rPr>
      </w:pPr>
      <w:r>
        <w:rPr>
          <w:rFonts w:cs="Arial" w:ascii="Verdana" w:hAnsi="Verdana"/>
          <w:b w:val="false"/>
          <w:bCs w:val="false"/>
          <w:color w:val="000000"/>
          <w:sz w:val="20"/>
          <w:szCs w:val="20"/>
        </w:rPr>
        <w:t>6.16</w:t>
      </w:r>
      <w:r>
        <w:rPr>
          <w:rFonts w:cs="Arial" w:ascii="Verdana" w:hAnsi="Verdana"/>
          <w:color w:val="000000"/>
          <w:sz w:val="20"/>
          <w:szCs w:val="20"/>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sz w:val="20"/>
          <w:szCs w:val="20"/>
        </w:rPr>
      </w:pPr>
      <w:r>
        <w:rPr>
          <w:rFonts w:cs="Arial" w:ascii="Verdana" w:hAnsi="Verdana"/>
          <w:b w:val="false"/>
          <w:bCs w:val="false"/>
          <w:color w:val="000000"/>
          <w:sz w:val="20"/>
          <w:szCs w:val="20"/>
        </w:rPr>
        <w:t>6.17</w:t>
      </w:r>
      <w:r>
        <w:rPr>
          <w:rFonts w:cs="Arial" w:ascii="Verdana" w:hAnsi="Verdana"/>
          <w:color w:val="000000"/>
          <w:sz w:val="20"/>
          <w:szCs w:val="20"/>
        </w:rPr>
        <w:t xml:space="preserve"> O Critério de julgamento adotado será o de maior desconto ofertado, conforme definido neste Edital e seus anexos.</w:t>
      </w:r>
    </w:p>
    <w:p>
      <w:pPr>
        <w:pStyle w:val="Normal"/>
        <w:spacing w:lineRule="auto" w:line="276" w:before="57" w:after="57"/>
        <w:jc w:val="both"/>
        <w:rPr>
          <w:sz w:val="20"/>
          <w:szCs w:val="20"/>
        </w:rPr>
      </w:pPr>
      <w:r>
        <w:rPr>
          <w:rFonts w:cs="Arial" w:ascii="Verdana" w:hAnsi="Verdana"/>
          <w:b w:val="false"/>
          <w:bCs w:val="false"/>
          <w:color w:val="000000"/>
          <w:sz w:val="20"/>
          <w:szCs w:val="20"/>
        </w:rPr>
        <w:t>6.18</w:t>
      </w:r>
      <w:r>
        <w:rPr>
          <w:rFonts w:cs="Arial" w:ascii="Verdana" w:hAnsi="Verdana"/>
          <w:color w:val="000000"/>
          <w:sz w:val="20"/>
          <w:szCs w:val="20"/>
        </w:rPr>
        <w:t xml:space="preserve"> Caso o licitante não apresente lances, concorrerá com o valor de sua proposta.</w:t>
      </w:r>
    </w:p>
    <w:p>
      <w:pPr>
        <w:pStyle w:val="Normal"/>
        <w:spacing w:lineRule="auto" w:line="276" w:before="57" w:after="57"/>
        <w:jc w:val="both"/>
        <w:rPr>
          <w:sz w:val="20"/>
          <w:szCs w:val="20"/>
        </w:rPr>
      </w:pPr>
      <w:r>
        <w:rPr>
          <w:rFonts w:cs="Arial" w:ascii="Verdana" w:hAnsi="Verdana"/>
          <w:b w:val="false"/>
          <w:bCs w:val="false"/>
          <w:color w:val="000000"/>
          <w:sz w:val="20"/>
          <w:szCs w:val="20"/>
        </w:rPr>
        <w:t>6.19</w:t>
      </w:r>
      <w:r>
        <w:rPr>
          <w:rFonts w:cs="Arial" w:ascii="Verdana" w:hAnsi="Verdana"/>
          <w:color w:val="000000"/>
          <w:sz w:val="20"/>
          <w:szCs w:val="20"/>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sz w:val="20"/>
          <w:szCs w:val="20"/>
        </w:rPr>
      </w:pPr>
      <w:r>
        <w:rPr>
          <w:rFonts w:cs="Arial" w:ascii="Verdana" w:hAnsi="Verdana"/>
          <w:b w:val="false"/>
          <w:bCs w:val="false"/>
          <w:color w:val="000000"/>
          <w:sz w:val="20"/>
          <w:szCs w:val="20"/>
        </w:rPr>
        <w:t>6.20</w:t>
      </w:r>
      <w:r>
        <w:rPr>
          <w:rFonts w:cs="Arial" w:ascii="Verdana" w:hAnsi="Verdana"/>
          <w:color w:val="000000"/>
          <w:sz w:val="20"/>
          <w:szCs w:val="20"/>
        </w:rPr>
        <w:t xml:space="preserve">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sz w:val="20"/>
          <w:szCs w:val="20"/>
        </w:rPr>
      </w:pPr>
      <w:r>
        <w:rPr>
          <w:rFonts w:cs="Arial" w:ascii="Verdana" w:hAnsi="Verdana"/>
          <w:b w:val="false"/>
          <w:bCs w:val="false"/>
          <w:color w:val="000000"/>
          <w:sz w:val="20"/>
          <w:szCs w:val="20"/>
        </w:rPr>
        <w:t>6.21</w:t>
      </w:r>
      <w:r>
        <w:rPr>
          <w:rFonts w:cs="Arial" w:ascii="Verdana" w:hAnsi="Verdana"/>
          <w:color w:val="000000"/>
          <w:sz w:val="20"/>
          <w:szCs w:val="20"/>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sz w:val="20"/>
          <w:szCs w:val="20"/>
        </w:rPr>
      </w:pPr>
      <w:r>
        <w:rPr>
          <w:rFonts w:cs="Arial" w:ascii="Verdana" w:hAnsi="Verdana"/>
          <w:b w:val="false"/>
          <w:bCs w:val="false"/>
          <w:color w:val="000000"/>
          <w:sz w:val="20"/>
          <w:szCs w:val="20"/>
        </w:rPr>
        <w:t>6.22</w:t>
      </w:r>
      <w:r>
        <w:rPr>
          <w:rFonts w:cs="Arial" w:ascii="Verdana" w:hAnsi="Verdana"/>
          <w:color w:val="000000"/>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sz w:val="20"/>
          <w:szCs w:val="20"/>
        </w:rPr>
      </w:pPr>
      <w:r>
        <w:rPr>
          <w:rFonts w:cs="Arial" w:ascii="Verdana" w:hAnsi="Verdana"/>
          <w:b w:val="false"/>
          <w:bCs w:val="false"/>
          <w:color w:val="000000"/>
          <w:sz w:val="20"/>
          <w:szCs w:val="20"/>
        </w:rPr>
        <w:t>6.23</w:t>
      </w:r>
      <w:r>
        <w:rPr>
          <w:rFonts w:cs="Arial" w:ascii="Verdana" w:hAnsi="Verdana"/>
          <w:color w:val="000000"/>
          <w:sz w:val="20"/>
          <w:szCs w:val="20"/>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sz w:val="20"/>
          <w:szCs w:val="20"/>
        </w:rPr>
      </w:pPr>
      <w:r>
        <w:rPr>
          <w:rFonts w:cs="Arial" w:ascii="Verdana" w:hAnsi="Verdana"/>
          <w:b w:val="false"/>
          <w:bCs w:val="false"/>
          <w:color w:val="000000"/>
          <w:sz w:val="20"/>
          <w:szCs w:val="20"/>
        </w:rPr>
        <w:t>6.24</w:t>
      </w:r>
      <w:r>
        <w:rPr>
          <w:rFonts w:cs="Arial" w:ascii="Verdana" w:hAnsi="Verdana"/>
          <w:color w:val="000000"/>
          <w:sz w:val="20"/>
          <w:szCs w:val="20"/>
        </w:rPr>
        <w:t xml:space="preserve"> Só poderá haver empate entre propostas iguais (não seguidas de lances), ou entre lances finais da fase fechada do modo de disputa aberto e fechado. </w:t>
      </w:r>
    </w:p>
    <w:p>
      <w:pPr>
        <w:pStyle w:val="Normal"/>
        <w:spacing w:lineRule="auto" w:line="276" w:before="57" w:after="57"/>
        <w:jc w:val="both"/>
        <w:rPr>
          <w:sz w:val="20"/>
          <w:szCs w:val="20"/>
        </w:rPr>
      </w:pPr>
      <w:r>
        <w:rPr>
          <w:rFonts w:cs="Arial" w:ascii="Verdana" w:hAnsi="Verdana"/>
          <w:b w:val="false"/>
          <w:bCs w:val="false"/>
          <w:color w:val="000000"/>
          <w:sz w:val="20"/>
          <w:szCs w:val="20"/>
        </w:rPr>
        <w:t>6.25</w:t>
      </w:r>
      <w:r>
        <w:rPr>
          <w:rFonts w:cs="Arial" w:ascii="Verdana" w:hAnsi="Verdana"/>
          <w:color w:val="000000"/>
          <w:sz w:val="20"/>
          <w:szCs w:val="20"/>
        </w:rPr>
        <w:t xml:space="preserve">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ind w:firstLine="567"/>
        <w:jc w:val="both"/>
        <w:rPr>
          <w:sz w:val="20"/>
          <w:szCs w:val="20"/>
        </w:rPr>
      </w:pPr>
      <w:r>
        <w:rPr>
          <w:rFonts w:cs="Arial" w:ascii="Verdana" w:hAnsi="Verdana"/>
          <w:b/>
          <w:bCs/>
          <w:i/>
          <w:iCs/>
          <w:color w:val="000000"/>
          <w:sz w:val="20"/>
          <w:szCs w:val="20"/>
        </w:rPr>
        <w:t>6.25.1</w:t>
      </w:r>
      <w:r>
        <w:rPr>
          <w:rFonts w:cs="Arial" w:ascii="Verdana" w:hAnsi="Verdana"/>
          <w:color w:val="000000"/>
          <w:sz w:val="20"/>
          <w:szCs w:val="20"/>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ind w:firstLine="567"/>
        <w:jc w:val="both"/>
        <w:rPr>
          <w:sz w:val="20"/>
          <w:szCs w:val="20"/>
        </w:rPr>
      </w:pPr>
      <w:r>
        <w:rPr>
          <w:rFonts w:cs="Arial" w:ascii="Verdana" w:hAnsi="Verdana"/>
          <w:b/>
          <w:bCs/>
          <w:color w:val="000000"/>
          <w:sz w:val="20"/>
          <w:szCs w:val="20"/>
          <w:lang w:eastAsia="en-US"/>
        </w:rPr>
        <w:t>6.25.2</w:t>
      </w:r>
      <w:r>
        <w:rPr>
          <w:rFonts w:cs="Arial" w:ascii="Verdana" w:hAnsi="Verdana"/>
          <w:color w:val="000000"/>
          <w:sz w:val="20"/>
          <w:szCs w:val="20"/>
          <w:lang w:eastAsia="en-US"/>
        </w:rPr>
        <w:t xml:space="preserve"> Por empresas brasileiras;</w:t>
      </w:r>
    </w:p>
    <w:p>
      <w:pPr>
        <w:pStyle w:val="Normal"/>
        <w:spacing w:lineRule="auto" w:line="276" w:before="57" w:after="57"/>
        <w:ind w:firstLine="567"/>
        <w:jc w:val="both"/>
        <w:rPr>
          <w:sz w:val="20"/>
          <w:szCs w:val="20"/>
        </w:rPr>
      </w:pPr>
      <w:r>
        <w:rPr>
          <w:rFonts w:cs="Arial" w:ascii="Verdana" w:hAnsi="Verdana"/>
          <w:b/>
          <w:bCs/>
          <w:color w:val="000000"/>
          <w:sz w:val="20"/>
          <w:szCs w:val="20"/>
          <w:lang w:eastAsia="en-US"/>
        </w:rPr>
        <w:t>6.25.3</w:t>
      </w:r>
      <w:r>
        <w:rPr>
          <w:rFonts w:cs="Arial" w:ascii="Verdana" w:hAnsi="Verdana"/>
          <w:color w:val="000000"/>
          <w:sz w:val="20"/>
          <w:szCs w:val="20"/>
          <w:lang w:eastAsia="en-US"/>
        </w:rPr>
        <w:t xml:space="preserve"> Por empresas que invistam em pesquisa e no desenvolvimento de tecnologia no País;</w:t>
      </w:r>
    </w:p>
    <w:p>
      <w:pPr>
        <w:pStyle w:val="Normal"/>
        <w:spacing w:lineRule="auto" w:line="276" w:before="57" w:after="57"/>
        <w:ind w:firstLine="567"/>
        <w:jc w:val="both"/>
        <w:rPr>
          <w:sz w:val="20"/>
          <w:szCs w:val="20"/>
        </w:rPr>
      </w:pPr>
      <w:r>
        <w:rPr>
          <w:rFonts w:cs="Arial" w:ascii="Verdana" w:hAnsi="Verdana"/>
          <w:b/>
          <w:bCs/>
          <w:color w:val="000000"/>
          <w:sz w:val="20"/>
          <w:szCs w:val="20"/>
          <w:lang w:eastAsia="en-US"/>
        </w:rPr>
        <w:t>6.25.4</w:t>
      </w:r>
      <w:r>
        <w:rPr>
          <w:rFonts w:cs="Arial" w:ascii="Verdana" w:hAnsi="Verdana"/>
          <w:color w:val="000000"/>
          <w:sz w:val="20"/>
          <w:szCs w:val="20"/>
          <w:lang w:eastAsia="en-US"/>
        </w:rPr>
        <w:t xml:space="preserve">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sz w:val="20"/>
          <w:szCs w:val="20"/>
        </w:rPr>
      </w:pPr>
      <w:r>
        <w:rPr>
          <w:rFonts w:cs="Arial" w:ascii="Verdana" w:hAnsi="Verdana"/>
          <w:b w:val="false"/>
          <w:bCs w:val="false"/>
          <w:color w:val="000000"/>
          <w:sz w:val="20"/>
          <w:szCs w:val="20"/>
          <w:lang w:eastAsia="en-US"/>
        </w:rPr>
        <w:t>6.26</w:t>
      </w:r>
      <w:r>
        <w:rPr>
          <w:rFonts w:cs="Arial" w:ascii="Verdana" w:hAnsi="Verdana"/>
          <w:color w:val="000000"/>
          <w:sz w:val="20"/>
          <w:szCs w:val="20"/>
          <w:lang w:eastAsia="en-US"/>
        </w:rPr>
        <w:t xml:space="preserve">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sz w:val="20"/>
          <w:szCs w:val="20"/>
        </w:rPr>
      </w:pPr>
      <w:r>
        <w:rPr>
          <w:rFonts w:cs="Arial" w:ascii="Verdana" w:hAnsi="Verdana"/>
          <w:b w:val="false"/>
          <w:bCs w:val="false"/>
          <w:color w:val="000000"/>
          <w:sz w:val="20"/>
          <w:szCs w:val="20"/>
        </w:rPr>
        <w:t>6.27</w:t>
      </w:r>
      <w:r>
        <w:rPr>
          <w:rFonts w:cs="Arial" w:ascii="Verdana" w:hAnsi="Verdana"/>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firstLine="567" w:left="0"/>
        <w:contextualSpacing w:val="false"/>
        <w:jc w:val="both"/>
        <w:rPr>
          <w:sz w:val="20"/>
          <w:szCs w:val="20"/>
        </w:rPr>
      </w:pPr>
      <w:r>
        <w:rPr>
          <w:rFonts w:cs="Arial" w:ascii="Verdana" w:hAnsi="Verdana"/>
          <w:b/>
          <w:bCs/>
          <w:i/>
          <w:iCs/>
          <w:color w:val="000000"/>
          <w:sz w:val="20"/>
          <w:szCs w:val="20"/>
          <w:lang w:eastAsia="en-US"/>
        </w:rPr>
        <w:t>6.27.1</w:t>
      </w:r>
      <w:r>
        <w:rPr>
          <w:rFonts w:cs="Arial" w:ascii="Verdana" w:hAnsi="Verdana"/>
          <w:color w:val="000000"/>
          <w:sz w:val="20"/>
          <w:szCs w:val="20"/>
          <w:lang w:eastAsia="en-US"/>
        </w:rPr>
        <w:t xml:space="preserve"> A negociação será realizada por meio do sistema, podendo ser acompanhada pelos demais licitantes.</w:t>
      </w:r>
    </w:p>
    <w:p>
      <w:pPr>
        <w:pStyle w:val="ListParagraph"/>
        <w:tabs>
          <w:tab w:val="clear" w:pos="720"/>
          <w:tab w:val="left" w:pos="-12" w:leader="none"/>
        </w:tabs>
        <w:spacing w:lineRule="auto" w:line="276" w:before="57" w:after="57"/>
        <w:ind w:firstLine="567" w:left="0"/>
        <w:contextualSpacing w:val="false"/>
        <w:jc w:val="both"/>
        <w:rPr>
          <w:sz w:val="20"/>
          <w:szCs w:val="20"/>
        </w:rPr>
      </w:pPr>
      <w:r>
        <w:rPr>
          <w:rFonts w:cs="Arial" w:ascii="Verdana" w:hAnsi="Verdana"/>
          <w:b/>
          <w:bCs/>
          <w:i/>
          <w:iCs/>
          <w:color w:val="000000"/>
          <w:sz w:val="20"/>
          <w:szCs w:val="20"/>
        </w:rPr>
        <w:t>6.27.2</w:t>
      </w:r>
      <w:r>
        <w:rPr>
          <w:rFonts w:cs="Arial" w:ascii="Verdana" w:hAnsi="Verdana"/>
          <w:color w:val="000000"/>
          <w:sz w:val="20"/>
          <w:szCs w:val="20"/>
        </w:rPr>
        <w:t xml:space="preserve">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cs="Arial" w:ascii="Verdana" w:hAnsi="Verdana"/>
          <w:b w:val="false"/>
          <w:bCs w:val="false"/>
          <w:color w:val="000000"/>
          <w:sz w:val="20"/>
          <w:szCs w:val="20"/>
        </w:rPr>
        <w:t>6.28</w:t>
      </w:r>
      <w:r>
        <w:rPr>
          <w:rFonts w:cs="Arial" w:ascii="Verdana" w:hAnsi="Verdana"/>
          <w:color w:val="000000"/>
          <w:sz w:val="20"/>
          <w:szCs w:val="20"/>
        </w:rPr>
        <w:t xml:space="preserve"> Após a negociação do preço, o Pregoeiro iniciará a fase de aceitação e julgamento da proposta.</w:t>
      </w:r>
    </w:p>
    <w:p>
      <w:pPr>
        <w:pStyle w:val="ListParagraph"/>
        <w:tabs>
          <w:tab w:val="clear" w:pos="720"/>
          <w:tab w:val="left" w:pos="-12"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2"/>
        </w:numPr>
        <w:tabs>
          <w:tab w:val="clear" w:pos="567"/>
          <w:tab w:val="left" w:pos="517" w:leader="none"/>
        </w:tabs>
        <w:spacing w:lineRule="auto" w:line="276" w:before="57" w:after="57"/>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20"/>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02"/>
          <w:sz w:val="20"/>
          <w:u w:val="single"/>
          <w:szCs w:val="20"/>
          <w:rFonts w:cs="Arial" w:ascii="Verdana" w:hAnsi="Verdana"/>
          <w:color w:val="000080"/>
        </w:rPr>
        <w:instrText xml:space="preserve"> HYPERLINK "http://www.planalto.gov.br/ccivil_03/_ato2019-2022/2021/lei/L14133.htm" \l "art14"</w:instrText>
      </w:r>
      <w:r>
        <w:rPr>
          <w:rStyle w:val="ListLabel202"/>
          <w:sz w:val="20"/>
          <w:u w:val="single"/>
          <w:szCs w:val="20"/>
          <w:rFonts w:cs="Arial" w:ascii="Verdana" w:hAnsi="Verdana"/>
          <w:color w:val="000080"/>
        </w:rPr>
        <w:fldChar w:fldCharType="separate"/>
      </w:r>
      <w:r>
        <w:rPr>
          <w:rStyle w:val="ListLabel202"/>
          <w:rFonts w:cs="Arial" w:ascii="Verdana" w:hAnsi="Verdana"/>
          <w:color w:val="000080"/>
          <w:sz w:val="20"/>
          <w:szCs w:val="20"/>
          <w:u w:val="single"/>
        </w:rPr>
        <w:t>art. 14 da Lei nº 14.133/2021</w:t>
      </w:r>
      <w:r>
        <w:rPr>
          <w:rStyle w:val="ListLabel20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4.3.12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Caso o licitante provisoriamente classificado em primeiro lugar tenha se utilizado de algum tratamento favorecido às ME/EPPs, o pregoeiro verificará se faz jus ao benefício, em conformidade este edital.</w:t>
      </w:r>
    </w:p>
    <w:p>
      <w:pPr>
        <w:pStyle w:val="ListParagraph"/>
        <w:numPr>
          <w:ilvl w:val="1"/>
          <w:numId w:val="2"/>
        </w:numPr>
        <w:tabs>
          <w:tab w:val="clear" w:pos="720"/>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0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02"/>
          <w:sz w:val="20"/>
          <w:u w:val="single"/>
          <w:szCs w:val="20"/>
          <w:rFonts w:cs="Arial" w:ascii="Verdana" w:hAnsi="Verdana"/>
          <w:color w:val="000080"/>
        </w:rPr>
        <w:fldChar w:fldCharType="separate"/>
      </w:r>
      <w:r>
        <w:rPr>
          <w:rStyle w:val="ListLabel202"/>
          <w:rFonts w:cs="Arial" w:ascii="Verdana" w:hAnsi="Verdana"/>
          <w:color w:val="000080"/>
          <w:sz w:val="20"/>
          <w:szCs w:val="20"/>
          <w:u w:val="single"/>
        </w:rPr>
        <w:t>artigo 29 a 35 da IN SEGES nº 73, de 30 de setembro de 2022</w:t>
      </w:r>
      <w:r>
        <w:rPr>
          <w:rStyle w:val="ListLabel20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7.4.1 não estiver em conformidade com os requisitos estabelecidos neste edital;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7.4.2 contenha vício insanável ou ilegalidade;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7.4.3 não apresente as especificações técnicas exigidas pelo Termo de Referência;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7.4.4 apresentar preço final superior ao preço máximo fixado, percentual de desconto inferior ao mínimo exigido ou que apresentar preço manifestamente inexequível.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7.4.4.1 Quando o licitante não conseguir comprovar que possui ou possuirá recursos suficientes para executar a contento o objeto, será considerada inexequível a proposta de preços ou menor lance que: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7.4.4.1.2 apresentar um ou mais valores da planilha de custo que sejam inferiores àqueles fixados em instrumentos de caráter normativo obrigatório, tais como leis, medidas provisórias e convenções coletivas de trabalho vigentes.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7.4.4.2 A fim de assegurar o tratamento isonômico entre as licitantes, informa-se que foram utilizadas as seguintes convenções coletivas de trabalho no cálculo do valor estimado pela Administração.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7.5 É vedado à proponente incluir na Planilha de Custos e Formação de Preços:</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7.5.2 item relativo a despesas decorrentes de disposições contidas em Acordos, Convenções ou Dissídios Coletivos de Trabalho que tratem de obrigações e direitos que somente se aplicam aos contratos com a Administração Pública;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7.5.3 rubricas que prevejam o custeio de despesas com treinamento, reciclagem e capacitação ou congêneres, pois tais parcelas já são cobertas pelas despesas administrativas;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7.5.4 rubricas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 xml:space="preserve">7.5.5 rubricas para pagamento do Imposto de Renda Pessoa Jurídica – IRPJ e da Contribuição Social Sobre o Lucro Líquido – CSLL;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7.5.6 rubricas denominada “verba” ou “verba provisional”, pois o item não está vinculado a qualquer contraprestação mensurável.</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7.8.1 Na hipótese de contratação com a previsão de itens de custos vedados, tais valores serão glosados e os itens serão excluídos da Planilha, garantidas ampla defesa e contraditório.</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Normal"/>
        <w:numPr>
          <w:ilvl w:val="1"/>
          <w:numId w:val="4"/>
        </w:numPr>
        <w:tabs>
          <w:tab w:val="clear" w:pos="720"/>
          <w:tab w:val="left" w:pos="517" w:leader="none"/>
        </w:tabs>
        <w:spacing w:lineRule="auto" w:line="276" w:before="57" w:after="57"/>
        <w:ind w:hanging="0" w:left="0"/>
        <w:jc w:val="both"/>
        <w:rPr>
          <w:rFonts w:ascii="Verdana" w:hAnsi="Verdana"/>
          <w:sz w:val="20"/>
          <w:szCs w:val="20"/>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 </w:t>
      </w:r>
    </w:p>
    <w:p>
      <w:pPr>
        <w:pStyle w:val="Normal"/>
        <w:tabs>
          <w:tab w:val="clear" w:pos="720"/>
          <w:tab w:val="left" w:pos="517" w:leader="none"/>
        </w:tabs>
        <w:spacing w:lineRule="auto" w:line="276" w:before="57" w:after="57"/>
        <w:jc w:val="both"/>
        <w:rPr>
          <w:rFonts w:ascii="Verdana" w:hAnsi="Verdana"/>
          <w:sz w:val="20"/>
          <w:szCs w:val="20"/>
        </w:rPr>
      </w:pPr>
      <w:r>
        <w:rPr>
          <w:rFonts w:ascii="Verdana" w:hAnsi="Verdana"/>
          <w:sz w:val="20"/>
          <w:szCs w:val="20"/>
        </w:rPr>
        <w:t>7.11.1 As propostas com preços próximos ou inferiores ao mínimo estabelecido pela Prefeitura Municipal de São Gabriel da Palha, disponibilizado em meio eletrônico, no Portal de Compras Públicas (http://</w:t>
      </w:r>
      <w:bookmarkStart w:id="12" w:name="_Hlk123138684_Copia_2"/>
      <w:r>
        <w:rPr>
          <w:rFonts w:cs="Arial" w:ascii="Verdana" w:hAnsi="Verdana"/>
          <w:color w:val="000000"/>
          <w:sz w:val="20"/>
          <w:szCs w:val="20"/>
        </w:rPr>
        <w:t>www.portaldecompraspublicas.com.br</w:t>
      </w:r>
      <w:bookmarkEnd w:id="12"/>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7.13.1 É facultado ao pregoeiro prorrogar o prazo estabelecido, a partir de solicitação fundamentada feita no chat pelo licitante, antes de findo o prazo.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en-US"/>
        </w:rPr>
        <w:t>7.13.2 Dentre os documentos passíveis de solicitação pelo Pregoeiro, destacam-se as planilhas de custo readequadas com o valor final ofertado.</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bCs/>
          <w:iCs/>
          <w:color w:val="000000"/>
          <w:sz w:val="20"/>
          <w:szCs w:val="20"/>
        </w:rPr>
        <w:t xml:space="preserve"> </w:t>
      </w:r>
      <w:r>
        <w:rPr>
          <w:rFonts w:cs="Arial" w:ascii="Verdana" w:hAnsi="Verdana"/>
          <w:bCs/>
          <w:iCs/>
          <w:color w:val="000000"/>
          <w:sz w:val="20"/>
          <w:szCs w:val="20"/>
        </w:rPr>
        <w:t xml:space="preserve">Todos os dados informados pelo licitante em sua planilha deverão refletir com fidelidade os custos especificados e a margem de lucro pretendida. </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 xml:space="preserve"> </w:t>
      </w:r>
      <w:r>
        <w:rPr>
          <w:rFonts w:cs="Arial" w:ascii="Verdana" w:hAnsi="Verdana"/>
          <w:sz w:val="20"/>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Erros no preenchimento da planilha não constituem motivo para a desclassificação da proposta. A planilha poderá́ ser ajustada pelo licitante, no prazo indicado pelo Pregoeiro, desde que não haja majoração do preço. </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O ajuste de que trata este dispositivo se limita a sanar erros ou falhas que não alterem a substância das propostas;</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Considera-se erro no preenchimento da planilha passível de correção a indicação de recolhimento de impostos e contribuições na forma do Simples Nacional, quando não cabível esse regime.</w:t>
      </w:r>
    </w:p>
    <w:p>
      <w:pPr>
        <w:pStyle w:val="Normal"/>
        <w:numPr>
          <w:ilvl w:val="2"/>
          <w:numId w:val="4"/>
        </w:numPr>
        <w:tabs>
          <w:tab w:val="clear" w:pos="720"/>
          <w:tab w:val="left" w:pos="683" w:leader="none"/>
          <w:tab w:val="left" w:pos="90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O Pregoeiro deverá verificar se a proposta apresenta o valor total dos custos da contratação, inclusive aqueles estimados para as ocorrências de fatos geradores.</w:t>
      </w:r>
    </w:p>
    <w:p>
      <w:pPr>
        <w:pStyle w:val="ListParagraph"/>
        <w:numPr>
          <w:ilvl w:val="1"/>
          <w:numId w:val="4"/>
        </w:numPr>
        <w:tabs>
          <w:tab w:val="clear" w:pos="720"/>
          <w:tab w:val="left" w:pos="51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4"/>
        </w:numPr>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4"/>
        </w:numPr>
        <w:spacing w:lineRule="auto" w:line="276" w:before="57" w:after="57"/>
        <w:ind w:hanging="0" w:left="0"/>
        <w:rPr>
          <w:rFonts w:ascii="Verdana" w:hAnsi="Verdana"/>
        </w:rPr>
      </w:pPr>
      <w:r>
        <w:rPr>
          <w:rFonts w:cs="Arial" w:ascii="Verdana" w:hAnsi="Verdana"/>
          <w:lang w:eastAsia="en-US"/>
        </w:rPr>
        <w:t>DA HABILITAÇÃO</w:t>
      </w:r>
    </w:p>
    <w:p>
      <w:pPr>
        <w:pStyle w:val="Nivel01"/>
        <w:numPr>
          <w:ilvl w:val="1"/>
          <w:numId w:val="5"/>
        </w:numPr>
        <w:tabs>
          <w:tab w:val="clear" w:pos="567"/>
          <w:tab w:val="left" w:pos="284" w:leader="none"/>
          <w:tab w:val="left" w:pos="517" w:leader="none"/>
        </w:tabs>
        <w:spacing w:lineRule="auto" w:line="276" w:before="57" w:after="57"/>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76"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0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0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0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8.1.1 Para a consulta de licitantes pessoa jurídica poderá haver a substituição das consultas das alíneas “b”, “c” e “d” acima pela Consulta Consolidada de Pessoa Jurídica do TCU (</w:t>
      </w:r>
      <w:hyperlink r:id="rId7">
        <w:r>
          <w:rPr>
            <w:rStyle w:val="ListLabel20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rFonts w:ascii="Verdana" w:hAnsi="Verdana"/>
          <w:sz w:val="20"/>
          <w:szCs w:val="20"/>
        </w:rPr>
      </w:pPr>
      <w:r>
        <w:rPr>
          <w:rFonts w:cs="Arial" w:ascii="Verdana" w:hAnsi="Verdana"/>
          <w:color w:val="000000"/>
          <w:sz w:val="20"/>
          <w:szCs w:val="20"/>
        </w:rPr>
        <w:t>8.1.2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8.1.2.2 A tentativa de burla será verificada por meio dos vínculos societários, linhas de fornecimento similares, dentre outros.</w:t>
      </w:r>
    </w:p>
    <w:p>
      <w:pPr>
        <w:pStyle w:val="ListParagraph"/>
        <w:tabs>
          <w:tab w:val="clear" w:pos="720"/>
          <w:tab w:val="left" w:pos="733" w:leader="none"/>
          <w:tab w:val="left" w:pos="90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8.1.2.3 O licitante será convocado para manifestação previamente à sua desclassificação.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8.1.3 Constatada a existência de sanção, o Pregoeiro reputará o licitante inabilitado, por falta de condição de participação.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5"/>
        </w:numPr>
        <w:tabs>
          <w:tab w:val="clear" w:pos="720"/>
          <w:tab w:val="left" w:pos="567"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5"/>
        </w:numPr>
        <w:tabs>
          <w:tab w:val="clear" w:pos="720"/>
          <w:tab w:val="left" w:pos="567" w:leader="none"/>
        </w:tabs>
        <w:spacing w:before="0" w:after="0"/>
        <w:ind w:hanging="0" w:left="0"/>
        <w:rPr>
          <w:rFonts w:ascii="Verdana" w:hAnsi="Verdana"/>
          <w:szCs w:val="20"/>
        </w:rPr>
      </w:pPr>
      <w:r>
        <w:rPr>
          <w:rFonts w:cs="Arial" w:ascii="Verdana" w:hAnsi="Verdana"/>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PADRO"/>
        <w:widowControl/>
        <w:numPr>
          <w:ilvl w:val="1"/>
          <w:numId w:val="5"/>
        </w:numPr>
        <w:tabs>
          <w:tab w:val="clear" w:pos="720"/>
          <w:tab w:val="left" w:pos="567" w:leader="none"/>
        </w:tabs>
        <w:spacing w:before="0" w:after="0"/>
        <w:ind w:hanging="0" w:left="0"/>
        <w:rPr>
          <w:rFonts w:ascii="Verdana" w:hAnsi="Verdana"/>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5"/>
        </w:numPr>
        <w:tabs>
          <w:tab w:val="clear" w:pos="720"/>
          <w:tab w:val="left" w:pos="567" w:leader="none"/>
        </w:tabs>
        <w:spacing w:before="0" w:after="0"/>
        <w:ind w:hanging="0" w:left="0"/>
        <w:rPr>
          <w:rFonts w:ascii="Verdana" w:hAnsi="Verdana"/>
          <w:szCs w:val="20"/>
        </w:rPr>
      </w:pPr>
      <w:r>
        <w:rPr>
          <w:rFonts w:cs="Arial" w:ascii="Verdana" w:hAnsi="Verdana"/>
          <w:szCs w:val="20"/>
        </w:rPr>
        <w:t>Não serão aceitos documentos de habilitação com indicação de CNPJ/CPF diferentes, salvo aqueles legalmente permitidos.</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5"/>
        </w:numPr>
        <w:tabs>
          <w:tab w:val="clear" w:pos="720"/>
          <w:tab w:val="left" w:pos="567" w:leader="none"/>
        </w:tabs>
        <w:spacing w:before="57" w:after="57"/>
        <w:ind w:hanging="0" w:left="0"/>
        <w:rPr>
          <w:rFonts w:ascii="Verdana" w:hAnsi="Verdana"/>
          <w:szCs w:val="20"/>
        </w:rPr>
      </w:pPr>
      <w:r>
        <w:rPr>
          <w:rFonts w:cs="Arial" w:ascii="Verdana" w:hAnsi="Verdana"/>
          <w:szCs w:val="20"/>
        </w:rPr>
        <w:t>Ressalvado o disposto no item 5.3, os licitantes deverão encaminhar, nos termos deste Edital, a documentação relacionada nos itens a seguir, para fins de habilitação: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5"/>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0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5"/>
        </w:numPr>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00"/>
          <w:sz w:val="20"/>
          <w:szCs w:val="20"/>
        </w:rPr>
        <w:t>:</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5"/>
        </w:numPr>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ListParagraph"/>
        <w:numPr>
          <w:ilvl w:val="2"/>
          <w:numId w:val="5"/>
        </w:numPr>
        <w:tabs>
          <w:tab w:val="clear" w:pos="720"/>
          <w:tab w:val="left" w:pos="0"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ListParagraph"/>
        <w:numPr>
          <w:ilvl w:val="2"/>
          <w:numId w:val="5"/>
        </w:numPr>
        <w:tabs>
          <w:tab w:val="clear" w:pos="720"/>
          <w:tab w:val="left" w:pos="0"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5"/>
        </w:numPr>
        <w:tabs>
          <w:tab w:val="clear" w:pos="720"/>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5"/>
        </w:numPr>
        <w:tabs>
          <w:tab w:val="clear" w:pos="720"/>
          <w:tab w:val="left" w:pos="617" w:leader="none"/>
        </w:tabs>
        <w:snapToGrid w:val="false"/>
        <w:spacing w:lineRule="auto" w:line="276"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8.13.1 A declaração do vencedor acontecerá no momento imediatamente posterior à fase de habilitação.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Cs/>
          <w:sz w:val="20"/>
          <w:szCs w:val="20"/>
        </w:rPr>
        <w:t xml:space="preserve">8.14 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bCs/>
          <w:color w:val="000000"/>
          <w:sz w:val="20"/>
          <w:szCs w:val="20"/>
        </w:rPr>
        <w:t>8.15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8.16 Havendo necessidade de analisar minuciosamente os documentos exigidos, o Pregoeiro suspenderá a sessão, informando no “chat” a nova data e horário para a continuidade da mesma.</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8.17 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tabs>
          <w:tab w:val="clear" w:pos="720"/>
          <w:tab w:val="left" w:pos="517" w:leader="none"/>
        </w:tabs>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8.18 Constatado o atendimento às exigências de habilitação fixadas no Edital, o licitante será declarado vencedor.</w:t>
      </w:r>
    </w:p>
    <w:p>
      <w:pPr>
        <w:pStyle w:val="ListParagraph"/>
        <w:tabs>
          <w:tab w:val="clear" w:pos="720"/>
          <w:tab w:val="left" w:pos="517" w:leader="none"/>
        </w:tabs>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5"/>
        </w:numPr>
        <w:tabs>
          <w:tab w:val="clear" w:pos="720"/>
          <w:tab w:val="left" w:pos="617" w:leader="none"/>
        </w:tabs>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5"/>
        </w:numPr>
        <w:tabs>
          <w:tab w:val="clear" w:pos="720"/>
          <w:tab w:val="left" w:pos="617" w:leader="none"/>
          <w:tab w:val="left" w:pos="900" w:leader="none"/>
        </w:tabs>
        <w:spacing w:lineRule="auto" w:line="276"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5"/>
        </w:numPr>
        <w:tabs>
          <w:tab w:val="clear" w:pos="720"/>
          <w:tab w:val="left" w:pos="850" w:leader="none"/>
        </w:tabs>
        <w:spacing w:lineRule="auto" w:line="276"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5"/>
        </w:numPr>
        <w:tabs>
          <w:tab w:val="clear" w:pos="720"/>
          <w:tab w:val="left" w:pos="850" w:leader="none"/>
        </w:tabs>
        <w:spacing w:lineRule="auto" w:line="276"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lang w:eastAsia="en-US"/>
        </w:rPr>
        <w:t>DOS RECURSOS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5"/>
        </w:numPr>
        <w:tabs>
          <w:tab w:val="clear" w:pos="720"/>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5"/>
        </w:numPr>
        <w:spacing w:lineRule="auto" w:line="276" w:before="57" w:after="57"/>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keepNext w:val="false"/>
        <w:keepLines w:val="false"/>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5"/>
        </w:numPr>
        <w:spacing w:lineRule="auto" w:line="276"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5"/>
        </w:numPr>
        <w:tabs>
          <w:tab w:val="left" w:pos="567" w:leader="none"/>
          <w:tab w:val="left" w:pos="850" w:leader="none"/>
        </w:tabs>
        <w:spacing w:lineRule="auto" w:line="276" w:before="57" w:after="57"/>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20"/>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rPr>
        <w:t xml:space="preserve">DA ADJUDICAÇÃO E HOMOLOGAÇÃO </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numPr>
          <w:ilvl w:val="0"/>
          <w:numId w:val="5"/>
        </w:numPr>
        <w:spacing w:lineRule="auto" w:line="276" w:before="57" w:after="57"/>
        <w:ind w:hanging="0" w:left="0"/>
        <w:rPr>
          <w:rFonts w:ascii="Verdana" w:hAnsi="Verdana"/>
        </w:rPr>
      </w:pPr>
      <w:r>
        <w:rPr>
          <w:rFonts w:cs="Arial" w:ascii="Verdana" w:hAnsi="Verdana"/>
          <w:color w:val="auto"/>
        </w:rPr>
        <w:t xml:space="preserve">DA GARANTIA DE EXECUÇÃO </w:t>
      </w:r>
    </w:p>
    <w:p>
      <w:pPr>
        <w:pStyle w:val="ListParagraph"/>
        <w:numPr>
          <w:ilvl w:val="1"/>
          <w:numId w:val="5"/>
        </w:numPr>
        <w:spacing w:lineRule="auto" w:line="276" w:before="57" w:after="57"/>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5"/>
        </w:numPr>
        <w:tabs>
          <w:tab w:val="clear" w:pos="720"/>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5"/>
        </w:numPr>
        <w:tabs>
          <w:tab w:val="clear" w:pos="720"/>
          <w:tab w:val="left" w:pos="850" w:leader="none"/>
        </w:tabs>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20"/>
          <w:tab w:val="left" w:pos="850" w:leader="none"/>
        </w:tabs>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14. DO REAJUSTAMENTO EM SENTIDO GERAL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14.1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15. DA ACEITAÇÃO DO OBJETO E DA FISCALIZAÇÃO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15.1 Os critérios de recebimento e aceitação do objeto e de fiscalização estão previstos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lang w:eastAsia="en-US"/>
        </w:rPr>
        <w:t>16. DAS OBRIGAÇÕES DA CONTRATANTE E DA CONTRATADA</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16.1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Tahoma" w:ascii="Verdana" w:hAnsi="Verdana"/>
          <w:color w:val="auto"/>
        </w:rPr>
        <w:t>17</w:t>
      </w:r>
      <w:r>
        <w:rPr>
          <w:rFonts w:cs="Arial" w:ascii="Verdana" w:hAnsi="Verdana"/>
        </w:rPr>
        <w:t>. DO PAGAMENTO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lang w:eastAsia="en-US"/>
        </w:rPr>
        <w:t>17.1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Contrato anexo a este edital.</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18. DAS SANÇÕES ADMINISTRATIVAS.</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shd w:fill="FFFFFF" w:val="clear"/>
        </w:rPr>
        <w:t>18.1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 xml:space="preserve">18.1.2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18.1.2.1 Não enviar a proposta adequada ao último lance ofertado ou após a negociação;</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18.1.2.2 Recusar-se a enviar o detalhamento da proposta quando exigível;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rPr>
        <w:t xml:space="preserve">18.1.2.3 Pedir para ser desclassificado quando encerrada a etapa competitiva; ou </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18.1.2.4 Deixar de apresentar amostra;</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18.1.2.5 Apresentar proposta ou amostra em desacordo com as especificações do edital;</w:t>
      </w:r>
    </w:p>
    <w:p>
      <w:pPr>
        <w:pStyle w:val="Normal"/>
        <w:tabs>
          <w:tab w:val="clear" w:pos="720"/>
          <w:tab w:val="left" w:pos="850" w:leader="none"/>
          <w:tab w:val="left" w:pos="1440" w:leader="none"/>
        </w:tabs>
        <w:snapToGrid w:val="false"/>
        <w:spacing w:lineRule="auto" w:line="276" w:before="57" w:after="57"/>
        <w:jc w:val="both"/>
        <w:rPr>
          <w:rFonts w:ascii="Verdana" w:hAnsi="Verdana"/>
          <w:sz w:val="20"/>
          <w:szCs w:val="20"/>
        </w:rPr>
      </w:pPr>
      <w:r>
        <w:rPr>
          <w:rFonts w:cs="Arial" w:ascii="Verdana" w:hAnsi="Verdana"/>
          <w:sz w:val="20"/>
          <w:szCs w:val="20"/>
          <w:shd w:fill="FFFFFF" w:val="clear"/>
        </w:rPr>
        <w:t>18.1.3 Não celebrar o contrato ou não entregar documentação exigida para a contratação quando convocado dentro do prazo de validade de sua proposta;</w:t>
      </w:r>
    </w:p>
    <w:p>
      <w:pPr>
        <w:pStyle w:val="Normal"/>
        <w:spacing w:lineRule="auto" w:line="276" w:before="57" w:after="57"/>
        <w:jc w:val="both"/>
        <w:rPr>
          <w:rFonts w:ascii="Verdana" w:hAnsi="Verdana"/>
          <w:sz w:val="20"/>
          <w:szCs w:val="20"/>
        </w:rPr>
      </w:pPr>
      <w:r>
        <w:rPr>
          <w:rFonts w:cs="Arial" w:ascii="Verdana" w:hAnsi="Verdana"/>
          <w:sz w:val="20"/>
          <w:szCs w:val="20"/>
          <w:shd w:fill="FFFFFF" w:val="clear"/>
        </w:rPr>
        <w:t>18.1.3.1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rFonts w:ascii="Verdana" w:hAnsi="Verdana"/>
          <w:sz w:val="20"/>
          <w:szCs w:val="20"/>
        </w:rPr>
      </w:pPr>
      <w:r>
        <w:rPr>
          <w:rFonts w:ascii="Verdana" w:hAnsi="Verdana"/>
          <w:sz w:val="20"/>
          <w:szCs w:val="20"/>
        </w:rPr>
        <w:t>18.1.4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76" w:before="57" w:after="57"/>
        <w:jc w:val="both"/>
        <w:rPr>
          <w:rFonts w:ascii="Verdana" w:hAnsi="Verdana"/>
          <w:sz w:val="20"/>
          <w:szCs w:val="20"/>
        </w:rPr>
      </w:pPr>
      <w:r>
        <w:rPr>
          <w:rFonts w:ascii="Verdana" w:hAnsi="Verdana"/>
          <w:sz w:val="20"/>
          <w:szCs w:val="20"/>
        </w:rPr>
        <w:t>18.1.5 F</w:t>
      </w:r>
      <w:bookmarkStart w:id="16" w:name="_Ref114668245"/>
      <w:r>
        <w:rPr>
          <w:rFonts w:ascii="Verdana" w:hAnsi="Verdana"/>
          <w:sz w:val="20"/>
          <w:szCs w:val="20"/>
        </w:rPr>
        <w:t>raudar a licitação</w:t>
      </w:r>
      <w:bookmarkEnd w:id="16"/>
    </w:p>
    <w:p>
      <w:pPr>
        <w:pStyle w:val="Normal"/>
        <w:spacing w:lineRule="auto" w:line="276" w:before="57" w:after="57"/>
        <w:jc w:val="both"/>
        <w:rPr>
          <w:rFonts w:ascii="Verdana" w:hAnsi="Verdana"/>
          <w:sz w:val="20"/>
          <w:szCs w:val="20"/>
        </w:rPr>
      </w:pPr>
      <w:r>
        <w:rPr>
          <w:rFonts w:ascii="Verdana" w:hAnsi="Verdana"/>
          <w:sz w:val="20"/>
          <w:szCs w:val="20"/>
        </w:rPr>
        <w:t>18.1.6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76" w:before="57" w:after="57"/>
        <w:jc w:val="both"/>
        <w:rPr>
          <w:rFonts w:ascii="Verdana" w:hAnsi="Verdana"/>
          <w:sz w:val="20"/>
          <w:szCs w:val="20"/>
        </w:rPr>
      </w:pPr>
      <w:r>
        <w:rPr>
          <w:rFonts w:ascii="Verdana" w:hAnsi="Verdana"/>
          <w:sz w:val="20"/>
          <w:szCs w:val="20"/>
        </w:rPr>
        <w:t>18.1.6.1 Agir em conluio ou em desconformidade com a lei;</w:t>
      </w:r>
    </w:p>
    <w:p>
      <w:pPr>
        <w:pStyle w:val="Normal"/>
        <w:spacing w:lineRule="auto" w:line="276" w:before="57" w:after="57"/>
        <w:jc w:val="both"/>
        <w:rPr>
          <w:rFonts w:ascii="Verdana" w:hAnsi="Verdana"/>
          <w:sz w:val="20"/>
          <w:szCs w:val="20"/>
        </w:rPr>
      </w:pPr>
      <w:r>
        <w:rPr>
          <w:rFonts w:ascii="Verdana" w:hAnsi="Verdana"/>
          <w:sz w:val="20"/>
          <w:szCs w:val="20"/>
        </w:rPr>
        <w:t>18.1.6.2 Induzir deliberadamente a erro no julgamento;</w:t>
      </w:r>
    </w:p>
    <w:p>
      <w:pPr>
        <w:pStyle w:val="Normal"/>
        <w:spacing w:lineRule="auto" w:line="276" w:before="57" w:after="57"/>
        <w:jc w:val="both"/>
        <w:rPr>
          <w:rFonts w:ascii="Verdana" w:hAnsi="Verdana"/>
          <w:sz w:val="20"/>
          <w:szCs w:val="20"/>
        </w:rPr>
      </w:pPr>
      <w:r>
        <w:rPr>
          <w:rFonts w:ascii="Verdana" w:hAnsi="Verdana"/>
          <w:sz w:val="20"/>
          <w:szCs w:val="20"/>
        </w:rPr>
        <w:t>18.1.6.3 Apresentar amostra falsificada ou deteriorada;</w:t>
      </w:r>
    </w:p>
    <w:p>
      <w:pPr>
        <w:pStyle w:val="Normal"/>
        <w:spacing w:lineRule="auto" w:line="276" w:before="57" w:after="57"/>
        <w:jc w:val="both"/>
        <w:rPr>
          <w:rFonts w:ascii="Verdana" w:hAnsi="Verdana"/>
          <w:sz w:val="20"/>
          <w:szCs w:val="20"/>
        </w:rPr>
      </w:pPr>
      <w:r>
        <w:rPr>
          <w:rFonts w:ascii="Verdana" w:hAnsi="Verdana"/>
          <w:sz w:val="20"/>
          <w:szCs w:val="20"/>
        </w:rPr>
        <w:t>18.1.7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76" w:before="57" w:after="57"/>
        <w:jc w:val="both"/>
        <w:rPr/>
      </w:pPr>
      <w:r>
        <w:rPr>
          <w:rFonts w:ascii="Verdana" w:hAnsi="Verdana"/>
          <w:sz w:val="20"/>
          <w:szCs w:val="20"/>
        </w:rPr>
        <w:t>18.1.8 P</w:t>
      </w:r>
      <w:bookmarkStart w:id="19" w:name="_Ref114668252"/>
      <w:r>
        <w:rPr>
          <w:rFonts w:ascii="Verdana" w:hAnsi="Verdana"/>
          <w:sz w:val="20"/>
          <w:szCs w:val="20"/>
        </w:rPr>
        <w:t xml:space="preserve">raticar ato lesivo previsto no </w:t>
      </w:r>
      <w:r>
        <w:fldChar w:fldCharType="begin"/>
      </w:r>
      <w:r>
        <w:rPr>
          <w:rStyle w:val="ListLabel206"/>
          <w:sz w:val="20"/>
          <w:u w:val="none"/>
          <w:szCs w:val="20"/>
          <w:rFonts w:ascii="Verdana" w:hAnsi="Verdana"/>
          <w:color w:val="000000"/>
        </w:rPr>
        <w:instrText xml:space="preserve"> HYPERLINK "https://www.planalto.gov.br/ccivil_03/_ato2011-2014/2013/lei/l12846.htm" \l "art5"</w:instrText>
      </w:r>
      <w:r>
        <w:rPr>
          <w:rStyle w:val="ListLabel206"/>
          <w:sz w:val="20"/>
          <w:u w:val="none"/>
          <w:szCs w:val="20"/>
          <w:rFonts w:ascii="Verdana" w:hAnsi="Verdana"/>
          <w:color w:val="000000"/>
        </w:rPr>
        <w:fldChar w:fldCharType="separate"/>
      </w:r>
      <w:r>
        <w:rPr>
          <w:rStyle w:val="ListLabel206"/>
          <w:rFonts w:ascii="Verdana" w:hAnsi="Verdana"/>
          <w:color w:val="000000"/>
          <w:sz w:val="20"/>
          <w:szCs w:val="20"/>
          <w:u w:val="none"/>
        </w:rPr>
        <w:t>art. 5º da Lei n.º 12.846, de 2013</w:t>
      </w:r>
      <w:r>
        <w:rPr>
          <w:rStyle w:val="ListLabel206"/>
          <w:sz w:val="20"/>
          <w:u w:val="none"/>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before="57" w:after="57"/>
        <w:ind w:hanging="0" w:left="0"/>
        <w:rPr/>
      </w:pPr>
      <w:r>
        <w:rPr>
          <w:rFonts w:ascii="Verdana" w:hAnsi="Verdana"/>
        </w:rPr>
        <w:t xml:space="preserve">18.2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rFonts w:ascii="Verdana" w:hAnsi="Verdana"/>
        </w:rPr>
      </w:pPr>
      <w:r>
        <w:rPr>
          <w:rFonts w:ascii="Verdana" w:hAnsi="Verdana"/>
        </w:rPr>
        <w:t>18.2.1 advertência;</w:t>
      </w:r>
    </w:p>
    <w:p>
      <w:pPr>
        <w:pStyle w:val="Nivel2"/>
        <w:numPr>
          <w:ilvl w:val="0"/>
          <w:numId w:val="0"/>
        </w:numPr>
        <w:spacing w:before="57" w:after="57"/>
        <w:ind w:hanging="0" w:left="0"/>
        <w:rPr>
          <w:rFonts w:ascii="Verdana" w:hAnsi="Verdana"/>
        </w:rPr>
      </w:pPr>
      <w:r>
        <w:rPr>
          <w:rFonts w:ascii="Verdana" w:hAnsi="Verdana"/>
        </w:rPr>
        <w:t>18.2.2 multa;</w:t>
      </w:r>
    </w:p>
    <w:p>
      <w:pPr>
        <w:pStyle w:val="Nivel2"/>
        <w:numPr>
          <w:ilvl w:val="0"/>
          <w:numId w:val="0"/>
        </w:numPr>
        <w:spacing w:before="57" w:after="57"/>
        <w:ind w:hanging="0" w:left="0"/>
        <w:rPr>
          <w:rFonts w:ascii="Verdana" w:hAnsi="Verdana"/>
        </w:rPr>
      </w:pPr>
      <w:r>
        <w:rPr>
          <w:rFonts w:ascii="Verdana" w:hAnsi="Verdana"/>
        </w:rPr>
        <w:t>18.2.3 impedimento de licitar e contratar e</w:t>
      </w:r>
    </w:p>
    <w:p>
      <w:pPr>
        <w:pStyle w:val="Nivel2"/>
        <w:numPr>
          <w:ilvl w:val="0"/>
          <w:numId w:val="0"/>
        </w:numPr>
        <w:spacing w:before="57" w:after="57"/>
        <w:ind w:hanging="0" w:left="0"/>
        <w:rPr>
          <w:rFonts w:ascii="Verdana" w:hAnsi="Verdana"/>
        </w:rPr>
      </w:pPr>
      <w:r>
        <w:rPr>
          <w:rFonts w:ascii="Verdana" w:hAnsi="Verdana"/>
        </w:rPr>
        <w:t>18.2.4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rFonts w:ascii="Verdana" w:hAnsi="Verdana"/>
        </w:rPr>
      </w:pPr>
      <w:r>
        <w:rPr>
          <w:rFonts w:ascii="Verdana" w:hAnsi="Verdana"/>
        </w:rPr>
        <w:t>18.3 Na aplicação das sanções serão considerados:</w:t>
      </w:r>
    </w:p>
    <w:p>
      <w:pPr>
        <w:pStyle w:val="Nivel2"/>
        <w:numPr>
          <w:ilvl w:val="0"/>
          <w:numId w:val="0"/>
        </w:numPr>
        <w:spacing w:before="57" w:after="57"/>
        <w:ind w:hanging="0" w:left="0"/>
        <w:rPr>
          <w:rFonts w:ascii="Verdana" w:hAnsi="Verdana"/>
        </w:rPr>
      </w:pPr>
      <w:r>
        <w:rPr>
          <w:rFonts w:ascii="Verdana" w:hAnsi="Verdana"/>
        </w:rPr>
        <w:t>18.3.1 a natureza e a gravidade da infração cometida.</w:t>
      </w:r>
    </w:p>
    <w:p>
      <w:pPr>
        <w:pStyle w:val="Nivel2"/>
        <w:numPr>
          <w:ilvl w:val="0"/>
          <w:numId w:val="0"/>
        </w:numPr>
        <w:spacing w:before="57" w:after="57"/>
        <w:ind w:hanging="0" w:left="0"/>
        <w:rPr>
          <w:rFonts w:ascii="Verdana" w:hAnsi="Verdana"/>
        </w:rPr>
      </w:pPr>
      <w:r>
        <w:rPr>
          <w:rFonts w:ascii="Verdana" w:hAnsi="Verdana"/>
        </w:rPr>
        <w:t>18.3.2 as peculiaridades do caso concreto</w:t>
      </w:r>
    </w:p>
    <w:p>
      <w:pPr>
        <w:pStyle w:val="Nivel2"/>
        <w:numPr>
          <w:ilvl w:val="0"/>
          <w:numId w:val="0"/>
        </w:numPr>
        <w:spacing w:before="57" w:after="57"/>
        <w:ind w:hanging="0" w:left="0"/>
        <w:rPr>
          <w:rFonts w:ascii="Verdana" w:hAnsi="Verdana"/>
        </w:rPr>
      </w:pPr>
      <w:r>
        <w:rPr>
          <w:rFonts w:ascii="Verdana" w:hAnsi="Verdana"/>
        </w:rPr>
        <w:t>18.3.3 as circunstâncias agravantes ou atenuantes</w:t>
      </w:r>
    </w:p>
    <w:p>
      <w:pPr>
        <w:pStyle w:val="Nivel2"/>
        <w:numPr>
          <w:ilvl w:val="0"/>
          <w:numId w:val="0"/>
        </w:numPr>
        <w:spacing w:before="57" w:after="57"/>
        <w:ind w:hanging="0" w:left="0"/>
        <w:rPr>
          <w:rFonts w:ascii="Verdana" w:hAnsi="Verdana"/>
        </w:rPr>
      </w:pPr>
      <w:r>
        <w:rPr>
          <w:rFonts w:ascii="Verdana" w:hAnsi="Verdana"/>
        </w:rPr>
        <w:t>18.3.4 os danos que dela provierem para a Administração Pública</w:t>
      </w:r>
    </w:p>
    <w:p>
      <w:pPr>
        <w:pStyle w:val="Nivel2"/>
        <w:numPr>
          <w:ilvl w:val="0"/>
          <w:numId w:val="0"/>
        </w:numPr>
        <w:spacing w:before="57" w:after="57"/>
        <w:ind w:hanging="0" w:left="0"/>
        <w:rPr>
          <w:rFonts w:ascii="Verdana" w:hAnsi="Verdana"/>
        </w:rPr>
      </w:pPr>
      <w:r>
        <w:rPr>
          <w:rFonts w:ascii="Verdana" w:hAnsi="Verdana"/>
        </w:rPr>
        <w:t>18.3.5 a implantação ou o aperfeiçoamento de programa de integridade, conforme normas e orientações dos órgãos de controle.</w:t>
      </w:r>
    </w:p>
    <w:p>
      <w:pPr>
        <w:pStyle w:val="Nivel2"/>
        <w:numPr>
          <w:ilvl w:val="0"/>
          <w:numId w:val="0"/>
        </w:numPr>
        <w:spacing w:before="57" w:after="57"/>
        <w:ind w:hanging="0" w:left="0"/>
        <w:rPr>
          <w:rFonts w:ascii="Verdana" w:hAnsi="Verdana"/>
        </w:rPr>
      </w:pPr>
      <w:r>
        <w:rPr>
          <w:rFonts w:ascii="Verdana" w:hAnsi="Verdana"/>
        </w:rPr>
        <w:t>18.4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rFonts w:ascii="Verdana" w:hAnsi="Verdana"/>
        </w:rPr>
      </w:pPr>
      <w:r>
        <w:rPr>
          <w:rFonts w:ascii="Verdana" w:hAnsi="Verdana"/>
        </w:rPr>
        <w:t xml:space="preserve">18.4.1 </w:t>
      </w:r>
      <w:bookmarkStart w:id="20" w:name="_Hlk113876035"/>
      <w:bookmarkStart w:id="21" w:name="_Hlk113876035_Copia_1"/>
      <w:r>
        <w:rPr>
          <w:rFonts w:ascii="Verdana" w:hAnsi="Verdana"/>
        </w:rPr>
        <w:t>Para as infrações previstas nos itens 18.1.1, 18.1.2 e 18.1.3, a multa será de 5% do valor do contrato licitado.</w:t>
      </w:r>
      <w:bookmarkEnd w:id="20"/>
      <w:bookmarkEnd w:id="21"/>
    </w:p>
    <w:p>
      <w:pPr>
        <w:pStyle w:val="Nivel2"/>
        <w:numPr>
          <w:ilvl w:val="0"/>
          <w:numId w:val="0"/>
        </w:numPr>
        <w:spacing w:before="57" w:after="57"/>
        <w:ind w:hanging="0" w:left="0"/>
        <w:rPr>
          <w:rFonts w:ascii="Verdana" w:hAnsi="Verdana"/>
        </w:rPr>
      </w:pPr>
      <w:r>
        <w:rPr>
          <w:rFonts w:ascii="Verdana" w:hAnsi="Verdana"/>
        </w:rPr>
        <w:t>18.4.2 Para as infrações previstas nos itens 18.1.4, 18.1.5, 18.1.6, 18.1.7 e 18.1.8, a multa será de 15% do valor do contrato licitado.</w:t>
      </w:r>
    </w:p>
    <w:p>
      <w:pPr>
        <w:pStyle w:val="Nivel2"/>
        <w:numPr>
          <w:ilvl w:val="0"/>
          <w:numId w:val="0"/>
        </w:numPr>
        <w:spacing w:before="57" w:after="57"/>
        <w:ind w:hanging="0" w:left="0"/>
        <w:rPr>
          <w:rFonts w:ascii="Verdana" w:hAnsi="Verdana"/>
        </w:rPr>
      </w:pPr>
      <w:r>
        <w:rPr>
          <w:rFonts w:ascii="Verdana" w:hAnsi="Verdana"/>
        </w:rPr>
        <w:t>18.5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rFonts w:ascii="Verdana" w:hAnsi="Verdana"/>
        </w:rPr>
      </w:pPr>
      <w:r>
        <w:rPr>
          <w:rFonts w:ascii="Verdana" w:hAnsi="Verdana"/>
        </w:rPr>
        <w:t>18.6 Na aplicação da sanção de multa será facultada a defesa do interessado no prazo de 15 (quinze) dias úteis, contado da data de sua intimação.</w:t>
      </w:r>
    </w:p>
    <w:p>
      <w:pPr>
        <w:pStyle w:val="Nivel2"/>
        <w:numPr>
          <w:ilvl w:val="0"/>
          <w:numId w:val="0"/>
        </w:numPr>
        <w:spacing w:before="57" w:after="57"/>
        <w:ind w:hanging="0" w:left="0"/>
        <w:rPr>
          <w:rFonts w:ascii="Verdana" w:hAnsi="Verdana"/>
        </w:rPr>
      </w:pPr>
      <w:r>
        <w:rPr>
          <w:rFonts w:ascii="Verdana" w:hAnsi="Verdana"/>
        </w:rPr>
        <w:t>18.7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18.8 Poderá ser aplicada ao responsável a sanção de declaração de inidoneidade para licitar ou contratar, em decorrência da prática das infrações dispostas nos itens 18.1.4, 18.1.5, 18.1.6, 18.1.7 e 18.1.8, bem como pelas infrações administrativas previstas nos itens 18.1.1, 18.1.2 e 18.1.3 que justifiquem a imposição de penalidade mais grave que a sanção de impedimento de licitar e contratar, cuja duração observará o prazo previsto no </w:t>
      </w:r>
      <w:r>
        <w:fldChar w:fldCharType="begin"/>
      </w:r>
      <w:r>
        <w:rPr>
          <w:rStyle w:val="ListLabel207"/>
          <w:u w:val="none"/>
          <w:rFonts w:ascii="Verdana" w:hAnsi="Verdana"/>
          <w:color w:val="000000"/>
        </w:rPr>
        <w:instrText xml:space="preserve"> HYPERLINK "http://www.planalto.gov.br/ccivil_03/_ato2019-2022/2021/lei/L14133.htm" \l "art156%C2%A75"</w:instrText>
      </w:r>
      <w:r>
        <w:rPr>
          <w:rStyle w:val="ListLabel207"/>
          <w:u w:val="none"/>
          <w:rFonts w:ascii="Verdana" w:hAnsi="Verdana"/>
          <w:color w:val="000000"/>
        </w:rPr>
        <w:fldChar w:fldCharType="separate"/>
      </w:r>
      <w:r>
        <w:rPr>
          <w:rStyle w:val="ListLabel207"/>
          <w:rFonts w:ascii="Verdana" w:hAnsi="Verdana"/>
          <w:color w:val="000000"/>
          <w:u w:val="none"/>
        </w:rPr>
        <w:t>art. 156, §5º, da Lei n.º 14.133/2021</w:t>
      </w:r>
      <w:r>
        <w:rPr>
          <w:rStyle w:val="ListLabel207"/>
          <w:u w:val="none"/>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18.9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9">
        <w:r>
          <w:rPr>
            <w:rStyle w:val="ListLabel207"/>
            <w:rFonts w:ascii="Verdana" w:hAnsi="Verdana"/>
            <w:color w:val="000000"/>
            <w:u w:val="none"/>
          </w:rPr>
          <w:t>art. 45, §4º da IN SEGES/ME n.º 73, de 2022</w:t>
        </w:r>
      </w:hyperlink>
      <w:r>
        <w:rPr>
          <w:rFonts w:ascii="Verdana" w:hAnsi="Verdana"/>
        </w:rPr>
        <w:t xml:space="preserve">. </w:t>
      </w:r>
    </w:p>
    <w:p>
      <w:pPr>
        <w:pStyle w:val="Nivel2"/>
        <w:numPr>
          <w:ilvl w:val="0"/>
          <w:numId w:val="0"/>
        </w:numPr>
        <w:spacing w:before="57" w:after="57"/>
        <w:ind w:hanging="0" w:left="0"/>
        <w:rPr>
          <w:rFonts w:ascii="Verdana" w:hAnsi="Verdana"/>
        </w:rPr>
      </w:pPr>
      <w:r>
        <w:rPr>
          <w:rFonts w:ascii="Verdana" w:hAnsi="Verdana"/>
        </w:rPr>
        <w:t xml:space="preserve">18.10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rFonts w:ascii="Verdana" w:hAnsi="Verdana"/>
        </w:rPr>
      </w:pPr>
      <w:r>
        <w:rPr>
          <w:rFonts w:ascii="Verdana" w:hAnsi="Verdana"/>
        </w:rPr>
        <w:t>18.11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rFonts w:ascii="Verdana" w:hAnsi="Verdana"/>
        </w:rPr>
      </w:pPr>
      <w:r>
        <w:rPr>
          <w:rFonts w:ascii="Verdana" w:hAnsi="Verdana"/>
        </w:rPr>
        <w:t>18.11.1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rFonts w:ascii="Verdana" w:hAnsi="Verdana"/>
        </w:rPr>
      </w:pPr>
      <w:r>
        <w:rPr>
          <w:rFonts w:ascii="Verdana" w:hAnsi="Verdana"/>
        </w:rPr>
        <w:t>18.12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rFonts w:ascii="Verdana" w:hAnsi="Verdana"/>
        </w:rPr>
      </w:pPr>
      <w:r>
        <w:rPr>
          <w:rFonts w:cs="Arial" w:ascii="Verdana" w:hAnsi="Verdana"/>
          <w:shd w:fill="FFFFFF" w:val="clear"/>
        </w:rPr>
        <w:t>18.13 A aplicação das sanções previstas neste edital não exclui, em hipótese alguma, a obrigação de reparação integral dos danos causados.</w:t>
      </w:r>
    </w:p>
    <w:p>
      <w:pPr>
        <w:pStyle w:val="Nivel2"/>
        <w:numPr>
          <w:ilvl w:val="0"/>
          <w:numId w:val="0"/>
        </w:numPr>
        <w:spacing w:before="57" w:after="57"/>
        <w:ind w:hanging="0" w:left="0"/>
        <w:rPr>
          <w:rFonts w:ascii="Verdana" w:hAnsi="Verdana"/>
        </w:rPr>
      </w:pPr>
      <w:r>
        <w:rPr>
          <w:rFonts w:ascii="Verdana" w:hAnsi="Verdana"/>
        </w:rPr>
      </w:r>
    </w:p>
    <w:p>
      <w:pPr>
        <w:pStyle w:val="Nivel01"/>
        <w:spacing w:lineRule="auto" w:line="276" w:before="57" w:after="57"/>
        <w:rPr>
          <w:rFonts w:ascii="Verdana" w:hAnsi="Verdana"/>
        </w:rPr>
      </w:pPr>
      <w:r>
        <w:rPr>
          <w:rFonts w:cs="Arial" w:ascii="Verdana" w:hAnsi="Verdana"/>
        </w:rPr>
        <w:t>19. DA IMPUGNAÇÃO AO EDITAL E DO PEDIDO DE ESCLARECIMENTO</w:t>
      </w:r>
    </w:p>
    <w:p>
      <w:pPr>
        <w:pStyle w:val="ListParagraph"/>
        <w:spacing w:lineRule="auto" w:line="276" w:before="57" w:after="57"/>
        <w:ind w:left="0"/>
        <w:contextualSpacing w:val="false"/>
        <w:jc w:val="both"/>
        <w:rPr>
          <w:rFonts w:ascii="Verdana" w:hAnsi="Verdana"/>
          <w:sz w:val="20"/>
          <w:szCs w:val="20"/>
        </w:rPr>
      </w:pPr>
      <w:r>
        <w:rPr>
          <w:rFonts w:cs="Arial" w:ascii="Verdana" w:hAnsi="Verdana"/>
          <w:sz w:val="20"/>
          <w:szCs w:val="20"/>
        </w:rPr>
        <w:t xml:space="preserve">19.1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left="0"/>
        <w:contextualSpacing w:val="false"/>
        <w:jc w:val="both"/>
        <w:rPr/>
      </w:pPr>
      <w:r>
        <w:rPr>
          <w:rFonts w:cs="Arial" w:ascii="Verdana" w:hAnsi="Verdana"/>
          <w:color w:val="000000"/>
          <w:sz w:val="20"/>
          <w:szCs w:val="20"/>
        </w:rPr>
        <w:t xml:space="preserve">19.2 A impugnação poderá ser realizada por forma eletrônica, pelo e-mail </w:t>
      </w:r>
      <w:hyperlink r:id="rId10">
        <w:r>
          <w:rPr>
            <w:rStyle w:val="ListLabel20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19.4 Acolhida a impugnação, será definida e publicada nova data para a realização do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 xml:space="preserve">19.5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19.7 As impugnações e pedidos de esclarecimentos não suspendem os prazos previstos no certame.</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19.8 A concessão de efeito suspensivo à impugnação é medida excepcional e deverá ser motivada pelo pregoeiro, nos autos do processo de licitação.</w:t>
      </w:r>
    </w:p>
    <w:p>
      <w:pPr>
        <w:pStyle w:val="ListParagraph"/>
        <w:spacing w:lineRule="auto" w:line="276" w:before="57" w:after="57"/>
        <w:ind w:left="0"/>
        <w:contextualSpacing w:val="false"/>
        <w:jc w:val="both"/>
        <w:rPr>
          <w:rFonts w:ascii="Verdana" w:hAnsi="Verdana"/>
          <w:sz w:val="20"/>
          <w:szCs w:val="20"/>
        </w:rPr>
      </w:pPr>
      <w:r>
        <w:rPr>
          <w:rFonts w:cs="Arial" w:ascii="Verdana" w:hAnsi="Verdana"/>
          <w:color w:val="000000"/>
          <w:sz w:val="20"/>
          <w:szCs w:val="20"/>
        </w:rPr>
        <w:t>19.9 As respostas aos pedidos de esclarecimentos serão divulgadas pelo sistema e vincularão os participantes e a administração.</w:t>
      </w:r>
    </w:p>
    <w:p>
      <w:pPr>
        <w:pStyle w:val="ListParagraph"/>
        <w:spacing w:lineRule="auto" w:line="276" w:before="57" w:after="57"/>
        <w:ind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rFonts w:ascii="Verdana" w:hAnsi="Verdana"/>
        </w:rPr>
      </w:pPr>
      <w:r>
        <w:rPr>
          <w:rFonts w:cs="Arial" w:ascii="Verdana" w:hAnsi="Verdana"/>
        </w:rPr>
        <w:t>20. DAS DISPOSIÇÕES GERAIS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 Da sessão pública do Pregão divulgar-se-á Ata no sistema eletrônico.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20.3 Todas as referências de tempo no Edital, no aviso e durante a sessão pública observarão o horário de Brasília – DF.</w:t>
      </w:r>
    </w:p>
    <w:p>
      <w:pPr>
        <w:pStyle w:val="Normal"/>
        <w:spacing w:lineRule="auto" w:line="276" w:before="57" w:after="57"/>
        <w:jc w:val="both"/>
        <w:rPr>
          <w:rFonts w:ascii="Verdana" w:hAnsi="Verdana"/>
          <w:sz w:val="20"/>
          <w:szCs w:val="20"/>
        </w:rPr>
      </w:pPr>
      <w:r>
        <w:rPr>
          <w:rFonts w:cs="Arial" w:ascii="Verdana" w:hAnsi="Verdana"/>
          <w:color w:val="000000"/>
          <w:sz w:val="20"/>
          <w:szCs w:val="20"/>
        </w:rPr>
        <w:t>20.4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20.5 A homologação do resultado desta licitação não implicará direito à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20.11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204"/>
            <w:rFonts w:ascii="Verdana" w:hAnsi="Verdana"/>
            <w:color w:val="000080"/>
            <w:sz w:val="20"/>
            <w:szCs w:val="20"/>
            <w:u w:val="single"/>
          </w:rPr>
          <w:t>licitacao@</w:t>
        </w:r>
      </w:hyperlink>
      <w:hyperlink r:id="rId12">
        <w:r>
          <w:rPr>
            <w:rStyle w:val="ListLabel204"/>
            <w:rFonts w:ascii="Verdana" w:hAnsi="Verdana"/>
            <w:color w:val="000080"/>
            <w:sz w:val="20"/>
            <w:szCs w:val="20"/>
            <w:u w:val="single"/>
          </w:rPr>
          <w:t>saogabriel</w:t>
        </w:r>
      </w:hyperlink>
      <w:hyperlink r:id="rId13">
        <w:r>
          <w:rPr>
            <w:rStyle w:val="ListLabel20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 xml:space="preserve">situada na Praça Vicente Glazar, 159, Glória, São Gabriel da Palha/ES, CEP 29.780-000, </w:t>
      </w:r>
      <w:r>
        <w:rPr>
          <w:rFonts w:ascii="Verdana" w:hAnsi="Verdana"/>
          <w:sz w:val="20"/>
          <w:szCs w:val="20"/>
        </w:rPr>
        <w:t>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 Integram este Edital, para todos os fins e efeitos, os seguintes anexos</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20.12.1 ANEXO I – Modelo Orientativo de Proposta;</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20.12.2 ANEXO II – Termo de Referência;</w:t>
      </w:r>
    </w:p>
    <w:p>
      <w:pPr>
        <w:pStyle w:val="Normal"/>
        <w:spacing w:lineRule="auto" w:line="276" w:before="57" w:after="57"/>
        <w:jc w:val="both"/>
        <w:rPr>
          <w:rFonts w:ascii="Verdana" w:hAnsi="Verdana"/>
          <w:sz w:val="20"/>
          <w:szCs w:val="20"/>
        </w:rPr>
      </w:pPr>
      <w:r>
        <w:rPr>
          <w:rFonts w:cs="Arial" w:ascii="Verdana" w:hAnsi="Verdana"/>
          <w:color w:val="000000"/>
          <w:sz w:val="20"/>
          <w:szCs w:val="20"/>
        </w:rPr>
        <w:t>20.12.3 ANEXO II-1 – Estudo Técnico Preliminar;</w:t>
      </w:r>
    </w:p>
    <w:p>
      <w:pPr>
        <w:pStyle w:val="Normal"/>
        <w:tabs>
          <w:tab w:val="clear" w:pos="720"/>
          <w:tab w:val="left" w:pos="800" w:leader="none"/>
        </w:tabs>
        <w:snapToGrid w:val="false"/>
        <w:spacing w:lineRule="auto" w:line="276" w:before="57" w:after="57"/>
        <w:jc w:val="both"/>
        <w:rPr>
          <w:rFonts w:ascii="Verdana" w:hAnsi="Verdana"/>
          <w:sz w:val="20"/>
          <w:szCs w:val="20"/>
        </w:rPr>
      </w:pPr>
      <w:r>
        <w:rPr>
          <w:rFonts w:cs="Arial" w:ascii="Verdana" w:hAnsi="Verdana"/>
          <w:color w:val="000000"/>
          <w:sz w:val="20"/>
          <w:szCs w:val="20"/>
        </w:rPr>
        <w:t>20.12.3 ANEXO III – Minuta de Contrato.</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cs="Arial" w:ascii="Verdana" w:hAnsi="Verdana"/>
          <w:color w:val="000000"/>
          <w:sz w:val="20"/>
          <w:szCs w:val="20"/>
        </w:rPr>
        <w:t>São Gabriel da Palha/ES, 31 de dezembro de 2025.</w:t>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tabs>
          <w:tab w:val="clear" w:pos="720"/>
          <w:tab w:val="left" w:pos="1440" w:leader="none"/>
        </w:tabs>
        <w:snapToGrid w:val="false"/>
        <w:spacing w:lineRule="auto" w:line="276" w:before="57" w:after="57"/>
        <w:jc w:val="both"/>
        <w:rPr>
          <w:rFonts w:ascii="Verdana" w:hAnsi="Verdana" w:cs="Arial"/>
          <w:sz w:val="20"/>
          <w:szCs w:val="20"/>
        </w:rPr>
      </w:pPr>
      <w:r>
        <w:rPr>
          <w:rFonts w:cs="Arial" w:ascii="Verdana" w:hAnsi="Verdana"/>
          <w:sz w:val="20"/>
          <w:szCs w:val="20"/>
        </w:rPr>
      </w:r>
    </w:p>
    <w:p>
      <w:pPr>
        <w:pStyle w:val="Normal"/>
        <w:jc w:val="center"/>
        <w:rPr>
          <w:rFonts w:ascii="Verdana" w:hAnsi="Verdana"/>
          <w:sz w:val="20"/>
          <w:szCs w:val="20"/>
        </w:rPr>
      </w:pPr>
      <w:r>
        <w:rPr>
          <w:rFonts w:cs="Verdana" w:ascii="Verdana" w:hAnsi="Verdana"/>
          <w:b/>
          <w:sz w:val="20"/>
          <w:szCs w:val="20"/>
        </w:rPr>
        <w:t>MARCELLA FERREIRA ROSSONI ROCHA</w:t>
      </w:r>
    </w:p>
    <w:p>
      <w:pPr>
        <w:pStyle w:val="Normal"/>
        <w:keepNext w:val="true"/>
        <w:keepLines/>
        <w:numPr>
          <w:ilvl w:val="0"/>
          <w:numId w:val="0"/>
        </w:numPr>
        <w:tabs>
          <w:tab w:val="clear" w:pos="720"/>
          <w:tab w:val="left" w:pos="567" w:leader="none"/>
        </w:tabs>
        <w:spacing w:lineRule="auto" w:line="276" w:before="57" w:after="57"/>
        <w:ind w:hanging="0" w:left="0"/>
        <w:jc w:val="center"/>
        <w:outlineLvl w:val="0"/>
        <w:rPr>
          <w:rFonts w:ascii="Verdana" w:hAnsi="Verdana"/>
          <w:sz w:val="20"/>
          <w:szCs w:val="20"/>
        </w:rPr>
      </w:pPr>
      <w:r>
        <w:rPr>
          <w:rFonts w:cs="Verdana" w:ascii="Verdana" w:hAnsi="Verdana"/>
          <w:b/>
          <w:sz w:val="20"/>
          <w:szCs w:val="20"/>
        </w:rPr>
        <w:t>Secretária Municipal de Saúde - Interina</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767" w:footer="341" w:bottom="99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Praça Vicente Glazar nº 159, Centro, São Gabriel da Palha, ES. CEP. 29.780-000.</w:t>
    </w:r>
  </w:p>
  <w:p>
    <w:pPr>
      <w:pStyle w:val="Footer"/>
      <w:jc w:val="center"/>
      <w:rPr>
        <w:sz w:val="18"/>
        <w:szCs w:val="18"/>
      </w:rPr>
    </w:pPr>
    <w:r>
      <w:rPr>
        <w:sz w:val="18"/>
        <w:szCs w:val="18"/>
      </w:rPr>
      <w:t>Telefax 0(xx) 27 3727-1366.</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8"/>
        <w:szCs w:val="18"/>
      </w:rPr>
    </w:pPr>
    <w:r>
      <w:rPr>
        <w:sz w:val="18"/>
        <w:szCs w:val="18"/>
      </w:rPr>
      <w:t>Praça Vicente Glazar nº 159, Centro, São Gabriel da Palha, ES. CEP. 29.780-000.</w:t>
    </w:r>
  </w:p>
  <w:p>
    <w:pPr>
      <w:pStyle w:val="Footer"/>
      <w:jc w:val="center"/>
      <w:rPr>
        <w:sz w:val="18"/>
        <w:szCs w:val="18"/>
      </w:rPr>
    </w:pPr>
    <w:r>
      <w:rPr>
        <w:sz w:val="18"/>
        <w:szCs w:val="18"/>
      </w:rPr>
      <w:t>Telefax 0(xx) 27 3727-1366.</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20"/>
        <w:b/>
        <w:szCs w:val="20"/>
        <w:rFonts w:ascii="Verdana" w:hAnsi="Verdana"/>
      </w:rPr>
    </w:lvl>
    <w:lvl w:ilvl="1">
      <w:start w:val="7"/>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8"/>
      <w:numFmt w:val="decimal"/>
      <w:lvlText w:val="%1"/>
      <w:lvlJc w:val="left"/>
      <w:pPr>
        <w:tabs>
          <w:tab w:val="num" w:pos="0"/>
        </w:tabs>
        <w:ind w:left="360" w:hanging="360"/>
      </w:pPr>
      <w:rPr>
        <w:b/>
        <w:bCs w:val="false"/>
        <w:rFonts w:ascii="Verdana" w:hAnsi="Verdana" w:cs="Arial"/>
      </w:rPr>
    </w:lvl>
    <w:lvl w:ilvl="1">
      <w:start w:val="1"/>
      <w:numFmt w:val="decimal"/>
      <w:lvlText w:val="%1.%2"/>
      <w:lvlJc w:val="left"/>
      <w:pPr>
        <w:tabs>
          <w:tab w:val="num" w:pos="0"/>
        </w:tabs>
        <w:ind w:left="720" w:hanging="720"/>
      </w:pPr>
      <w:rPr>
        <w:sz w:val="20"/>
        <w:b w:val="false"/>
        <w:szCs w:val="20"/>
        <w:rFonts w:ascii="Verdana" w:hAnsi="Verdana" w:cs="Arial"/>
      </w:rPr>
    </w:lvl>
    <w:lvl w:ilvl="2">
      <w:start w:val="1"/>
      <w:numFmt w:val="decimal"/>
      <w:lvlText w:val="%1.%2.%3"/>
      <w:lvlJc w:val="left"/>
      <w:pPr>
        <w:tabs>
          <w:tab w:val="num" w:pos="0"/>
        </w:tabs>
        <w:ind w:left="720" w:hanging="720"/>
      </w:pPr>
      <w:rPr>
        <w:sz w:val="20"/>
        <w:b w:val="false"/>
        <w:szCs w:val="20"/>
        <w:rFonts w:ascii="Verdana" w:hAnsi="Verdana" w:cs="Arial"/>
      </w:rPr>
    </w:lvl>
    <w:lvl w:ilvl="3">
      <w:start w:val="1"/>
      <w:numFmt w:val="decimal"/>
      <w:lvlText w:val="%1.%2.%3.%4"/>
      <w:lvlJc w:val="left"/>
      <w:pPr>
        <w:tabs>
          <w:tab w:val="num" w:pos="0"/>
        </w:tabs>
        <w:ind w:left="1080" w:hanging="1080"/>
      </w:pPr>
      <w:rPr>
        <w:b w:val="false"/>
        <w:rFonts w:cs="Arial"/>
      </w:rPr>
    </w:lvl>
    <w:lvl w:ilvl="4">
      <w:start w:val="1"/>
      <w:numFmt w:val="decimal"/>
      <w:lvlText w:val="%1.%2.%3.%4.%5"/>
      <w:lvlJc w:val="left"/>
      <w:pPr>
        <w:tabs>
          <w:tab w:val="num" w:pos="0"/>
        </w:tabs>
        <w:ind w:left="1440" w:hanging="1440"/>
      </w:pPr>
      <w:rPr>
        <w:b w:val="false"/>
        <w:rFonts w:cs="Arial"/>
      </w:rPr>
    </w:lvl>
    <w:lvl w:ilvl="5">
      <w:start w:val="1"/>
      <w:numFmt w:val="decimal"/>
      <w:lvlText w:val="%1.%2.%3.%4.%5.%6"/>
      <w:lvlJc w:val="left"/>
      <w:pPr>
        <w:tabs>
          <w:tab w:val="num" w:pos="0"/>
        </w:tabs>
        <w:ind w:left="1440" w:hanging="1440"/>
      </w:pPr>
      <w:rPr>
        <w:b w:val="false"/>
        <w:rFonts w:cs="Arial"/>
      </w:rPr>
    </w:lvl>
    <w:lvl w:ilvl="6">
      <w:start w:val="1"/>
      <w:numFmt w:val="decimal"/>
      <w:lvlText w:val="%1.%2.%3.%4.%5.%6.%7"/>
      <w:lvlJc w:val="left"/>
      <w:pPr>
        <w:tabs>
          <w:tab w:val="num" w:pos="0"/>
        </w:tabs>
        <w:ind w:left="1800" w:hanging="1800"/>
      </w:pPr>
      <w:rPr>
        <w:b w:val="false"/>
        <w:rFonts w:cs="Arial"/>
      </w:rPr>
    </w:lvl>
    <w:lvl w:ilvl="7">
      <w:start w:val="1"/>
      <w:numFmt w:val="decimal"/>
      <w:lvlText w:val="%1.%2.%3.%4.%5.%6.%7.%8"/>
      <w:lvlJc w:val="left"/>
      <w:pPr>
        <w:tabs>
          <w:tab w:val="num" w:pos="0"/>
        </w:tabs>
        <w:ind w:left="2160" w:hanging="2160"/>
      </w:pPr>
      <w:rPr>
        <w:b w:val="false"/>
        <w:rFonts w:cs="Arial"/>
      </w:rPr>
    </w:lvl>
    <w:lvl w:ilvl="8">
      <w:start w:val="1"/>
      <w:numFmt w:val="decimal"/>
      <w:lvlText w:val="%1.%2.%3.%4.%5.%6.%7.%8.%9"/>
      <w:lvlJc w:val="left"/>
      <w:pPr>
        <w:tabs>
          <w:tab w:val="num" w:pos="0"/>
        </w:tabs>
        <w:ind w:left="2160" w:hanging="2160"/>
      </w:pPr>
      <w:rPr>
        <w:b w:val="false"/>
        <w:rFonts w:cs="Arial"/>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20"/>
        <w:tab w:val="left" w:pos="1701" w:leader="none"/>
      </w:tabs>
      <w:ind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pPr>
      <w:tabs>
        <w:tab w:val="clear" w:pos="720"/>
        <w:tab w:val="center" w:pos="4252" w:leader="none"/>
        <w:tab w:val="right" w:pos="8504" w:leader="none"/>
      </w:tabs>
    </w:pPr>
    <w:rPr/>
  </w:style>
  <w:style w:type="paragraph" w:styleId="Footer">
    <w:name w:val="Footer"/>
    <w:basedOn w:val="Normal"/>
    <w:pPr>
      <w:tabs>
        <w:tab w:val="clear" w:pos="720"/>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20"/>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353</TotalTime>
  <Application>LibreOffice/24.2.6.2$Windows_X86_64 LibreOffice_project/ef66aa7e36a1bb8e65bfbc63aba53045a14d0871</Application>
  <AppVersion>15.0000</AppVersion>
  <Pages>18</Pages>
  <Words>8665</Words>
  <Characters>49340</Characters>
  <CharactersWithSpaces>57617</CharactersWithSpaces>
  <Paragraphs>328</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2024-07-09T19:27:00Z</dcterms:created>
  <dc:creator>Compras</dc:creator>
  <dc:description/>
  <dc:language>pt-BR</dc:language>
  <cp:lastModifiedBy/>
  <cp:lastPrinted>2026-01-07T13:45:54Z</cp:lastPrinted>
  <dcterms:modified xsi:type="dcterms:W3CDTF">2026-01-29T13:58:29Z</dcterms:modified>
  <cp:revision>7</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